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79" w:rsidRPr="00FA7E5C" w:rsidRDefault="00600D79" w:rsidP="00600D79">
      <w:pPr>
        <w:jc w:val="center"/>
        <w:rPr>
          <w:rFonts w:ascii="Times New Roman" w:hAnsi="Times New Roman" w:cs="Times New Roman"/>
          <w:b/>
          <w:bCs/>
          <w:sz w:val="24"/>
          <w:szCs w:val="24"/>
        </w:rPr>
      </w:pPr>
      <w:bookmarkStart w:id="0" w:name="_GoBack"/>
      <w:bookmarkEnd w:id="0"/>
      <w:r w:rsidRPr="00FA7E5C">
        <w:rPr>
          <w:rFonts w:ascii="Times New Roman" w:hAnsi="Times New Roman" w:cs="Times New Roman"/>
          <w:b/>
          <w:bCs/>
          <w:sz w:val="24"/>
          <w:szCs w:val="24"/>
        </w:rPr>
        <w:t>P</w:t>
      </w:r>
      <w:r w:rsidR="005621EF" w:rsidRPr="00FA7E5C">
        <w:rPr>
          <w:rFonts w:ascii="Times New Roman" w:hAnsi="Times New Roman" w:cs="Times New Roman"/>
          <w:b/>
          <w:bCs/>
          <w:sz w:val="24"/>
          <w:szCs w:val="24"/>
        </w:rPr>
        <w:t>ROYECTO DE LEY N°  _______ de 2019</w:t>
      </w:r>
    </w:p>
    <w:p w:rsidR="004A31D6" w:rsidRPr="00FA7E5C" w:rsidRDefault="005621EF" w:rsidP="00600D79">
      <w:pPr>
        <w:jc w:val="center"/>
        <w:rPr>
          <w:rFonts w:ascii="Times New Roman" w:hAnsi="Times New Roman" w:cs="Times New Roman"/>
          <w:b/>
          <w:bCs/>
          <w:sz w:val="24"/>
          <w:szCs w:val="24"/>
        </w:rPr>
      </w:pPr>
      <w:r w:rsidRPr="00FA7E5C">
        <w:rPr>
          <w:rFonts w:ascii="Times New Roman" w:hAnsi="Times New Roman" w:cs="Times New Roman"/>
          <w:b/>
          <w:bCs/>
          <w:sz w:val="24"/>
          <w:szCs w:val="24"/>
        </w:rPr>
        <w:t>“POR MEDIO DEL CUAL SE REFORMA EL CÓDIGO DE PROCEDIMIENTO PENAL -LEY 906 DE 2004 - Y SE DICTAN OTRAS DISPOSICIONES”</w:t>
      </w:r>
    </w:p>
    <w:p w:rsidR="003D3ED9" w:rsidRDefault="004A31D6" w:rsidP="004A31D6">
      <w:pPr>
        <w:jc w:val="center"/>
        <w:rPr>
          <w:rFonts w:ascii="Times New Roman" w:hAnsi="Times New Roman" w:cs="Times New Roman"/>
          <w:b/>
          <w:bCs/>
          <w:sz w:val="24"/>
          <w:szCs w:val="24"/>
        </w:rPr>
      </w:pPr>
      <w:r w:rsidRPr="00FA7E5C">
        <w:rPr>
          <w:rFonts w:ascii="Times New Roman" w:hAnsi="Times New Roman" w:cs="Times New Roman"/>
          <w:b/>
          <w:bCs/>
          <w:sz w:val="24"/>
          <w:szCs w:val="24"/>
        </w:rPr>
        <w:t>EL CONGRESO DE COLOMBIA</w:t>
      </w:r>
      <w:r w:rsidR="003D3ED9">
        <w:rPr>
          <w:rFonts w:ascii="Times New Roman" w:hAnsi="Times New Roman" w:cs="Times New Roman"/>
          <w:b/>
          <w:bCs/>
          <w:sz w:val="24"/>
          <w:szCs w:val="24"/>
        </w:rPr>
        <w:t>,</w:t>
      </w:r>
    </w:p>
    <w:p w:rsidR="004A31D6" w:rsidRPr="00FA7E5C" w:rsidRDefault="004A31D6" w:rsidP="004A31D6">
      <w:pPr>
        <w:jc w:val="center"/>
        <w:rPr>
          <w:rFonts w:ascii="Times New Roman" w:hAnsi="Times New Roman" w:cs="Times New Roman"/>
          <w:b/>
          <w:bCs/>
          <w:sz w:val="24"/>
          <w:szCs w:val="24"/>
        </w:rPr>
      </w:pPr>
      <w:r w:rsidRPr="00FA7E5C">
        <w:rPr>
          <w:rFonts w:ascii="Times New Roman" w:hAnsi="Times New Roman" w:cs="Times New Roman"/>
          <w:b/>
          <w:bCs/>
          <w:sz w:val="24"/>
          <w:szCs w:val="24"/>
        </w:rPr>
        <w:t xml:space="preserve"> DECRETA</w:t>
      </w:r>
      <w:r w:rsidR="003D3ED9">
        <w:rPr>
          <w:rFonts w:ascii="Times New Roman" w:hAnsi="Times New Roman" w:cs="Times New Roman"/>
          <w:b/>
          <w:bCs/>
          <w:sz w:val="24"/>
          <w:szCs w:val="24"/>
        </w:rPr>
        <w:t>:</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w:t>
      </w:r>
      <w:r w:rsidRPr="00FA7E5C">
        <w:rPr>
          <w:rFonts w:ascii="Times New Roman" w:hAnsi="Times New Roman" w:cs="Times New Roman"/>
          <w:sz w:val="24"/>
          <w:szCs w:val="24"/>
        </w:rPr>
        <w:t xml:space="preserve"> Modifíquese el artículo 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 Libertad.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w:t>
      </w:r>
      <w:proofErr w:type="gramStart"/>
      <w:r w:rsidRPr="00FA7E5C">
        <w:rPr>
          <w:rFonts w:ascii="Times New Roman" w:hAnsi="Times New Roman" w:cs="Times New Roman"/>
          <w:sz w:val="24"/>
          <w:szCs w:val="24"/>
        </w:rPr>
        <w:t>convirtieren</w:t>
      </w:r>
      <w:proofErr w:type="gramEnd"/>
      <w:r w:rsidRPr="00FA7E5C">
        <w:rPr>
          <w:rFonts w:ascii="Times New Roman" w:hAnsi="Times New Roman" w:cs="Times New Roman"/>
          <w:sz w:val="24"/>
          <w:szCs w:val="24"/>
        </w:rPr>
        <w:t xml:space="preserve"> en irrazonable o desproporcionada.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En todos los casos, se solicitará el control de legalidad de la captura al Juez de Control de Garantías en el menor tiempo posible, </w:t>
      </w:r>
      <w:r w:rsidRPr="00FA7E5C">
        <w:rPr>
          <w:rFonts w:ascii="Times New Roman" w:hAnsi="Times New Roman" w:cs="Times New Roman"/>
          <w:sz w:val="24"/>
          <w:szCs w:val="24"/>
          <w:u w:val="single"/>
        </w:rPr>
        <w:t xml:space="preserve">debiéndose iniciar la audiencia de control efectivo dentro de </w:t>
      </w:r>
      <w:r w:rsidRPr="00FA7E5C">
        <w:rPr>
          <w:rFonts w:ascii="Times New Roman" w:hAnsi="Times New Roman" w:cs="Times New Roman"/>
          <w:sz w:val="24"/>
          <w:szCs w:val="24"/>
        </w:rPr>
        <w:t xml:space="preserve">las treinta y seis (36) horas siguientes </w:t>
      </w:r>
      <w:r w:rsidRPr="00FA7E5C">
        <w:rPr>
          <w:rFonts w:ascii="Times New Roman" w:hAnsi="Times New Roman" w:cs="Times New Roman"/>
          <w:sz w:val="24"/>
          <w:szCs w:val="24"/>
          <w:u w:val="single"/>
        </w:rPr>
        <w:t>a la aprehensión, salvo lo dispuesto en el parágrafo segundo y tercero del artículo 298 de la Ley 906 de 2004. Está prohibida la suspensión de la audiencia y su duración deberá atender a un plazo razonable. El juez velará por terminar la audiencia sin ninguna dilación.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w:t>
      </w:r>
      <w:r w:rsidRPr="00FA7E5C">
        <w:rPr>
          <w:rFonts w:ascii="Times New Roman" w:hAnsi="Times New Roman" w:cs="Times New Roman"/>
          <w:sz w:val="24"/>
          <w:szCs w:val="24"/>
        </w:rPr>
        <w:t xml:space="preserve"> Modifíquese el artículo 8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8. Defensa. En desarrollo de la actuación, una vez adquirida la calidad de imputado este tendrá derecho, en plena igualdad respecto del órgano de persecución penal, en lo que aplica a: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 No ser obligado a declarar en contra de sí mismo ni en contra de su cónyuge, compañero permanente o parientes dentro del cuarto grado de consanguinidad o civil, o segundo de afinidad;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b) No auto incriminarse ni incriminar a su cónyuge, compañero permanente o parientes dentro del cuarto grado de consanguinidad o civil, o segundo de afinidad;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c) No se utilice el silencio en su contra; d) No se utilice en su contra el contenido de las conversaciones tendientes a lograr un acuerdo para la declaración de responsabilidad en cualquiera de sus formas o de un método alternativo de solución de conflictos, si no llegaren a perfeccionarse;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 Ser oído, asistido y representado por un abogado de confianza o nombrado por el Estado;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 xml:space="preserve">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g) Tener comunicación privada con su defensor antes de comparecer frente a las autoridades;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h) </w:t>
      </w:r>
      <w:r w:rsidRPr="00FA7E5C">
        <w:rPr>
          <w:rFonts w:ascii="Times New Roman" w:hAnsi="Times New Roman" w:cs="Times New Roman"/>
          <w:sz w:val="24"/>
          <w:szCs w:val="24"/>
          <w:u w:val="single"/>
        </w:rPr>
        <w:t xml:space="preserve">Que se le comuniquen los cargos por los cuales está siendo procesado tanto en el escrito de comunicación de imputación, como en la audiencia de acusación,  expresados en términos que sean comprensibles, con indicación expresa de las circunstancias conocidas de modo, tiempo y lugar que los fundamentan;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i) Disponer de tiempo razonable y de medios adecuados para la preparación de la defensa. De manera excepcional podrá solicitar las prórrogas debidamente justificadas y necesarias para la celebración de las audiencias </w:t>
      </w:r>
      <w:r w:rsidRPr="00FA7E5C">
        <w:rPr>
          <w:rFonts w:ascii="Times New Roman" w:hAnsi="Times New Roman" w:cs="Times New Roman"/>
          <w:sz w:val="24"/>
          <w:szCs w:val="24"/>
          <w:u w:val="single"/>
        </w:rPr>
        <w:t>en las que la presencia del defensor o del imputado sea requisito de validez;</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j) Solicitar, conocer y controvertir las pruebas;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 Renunciar a los derechos contemplados en los literales b) y k) siempre y cuando se trate de una manifestación libre, consciente, voluntaria y debidamente informada. En estos eventos requerirá siempre el asesoramiento de su abogado defensor. En el evento de los literales c) y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j) requerirá siempre el asesoramiento de su abogado defensor.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w:t>
      </w:r>
      <w:r w:rsidRPr="00FA7E5C">
        <w:rPr>
          <w:rFonts w:ascii="Times New Roman" w:hAnsi="Times New Roman" w:cs="Times New Roman"/>
          <w:sz w:val="24"/>
          <w:szCs w:val="24"/>
        </w:rPr>
        <w:t xml:space="preserve"> Modifíquese el Artículo 11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11. Derechos de las víctimas. El Estado garantizará el acceso de las víctimas a la administración de justicia, en los términos establecidos en este código.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En desarrollo de lo anterior, las víctimas tendrán derecho: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 A recibir, durante todo el procedimiento, un trato humano y digno;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b) A la protección de su intimidad, a la garantía de su seguridad, y a la de sus familiares y testigos a favor;</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c) </w:t>
      </w:r>
      <w:r w:rsidRPr="00FA7E5C">
        <w:rPr>
          <w:rFonts w:ascii="Times New Roman" w:hAnsi="Times New Roman" w:cs="Times New Roman"/>
          <w:sz w:val="24"/>
          <w:szCs w:val="24"/>
          <w:u w:val="single"/>
        </w:rPr>
        <w:t>A que se adopten desde un inicio las medidas de protección necesarias para cesar los efectos producidos por el delito y las cosas vuelvan al estado anterior, si ello fuere posible. A que se restablezcan los derechos quebrantados, independientes de la responsabilidad penal</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d) </w:t>
      </w:r>
      <w:r w:rsidRPr="00FA7E5C">
        <w:rPr>
          <w:rFonts w:ascii="Times New Roman" w:hAnsi="Times New Roman" w:cs="Times New Roman"/>
          <w:sz w:val="24"/>
          <w:szCs w:val="24"/>
          <w:u w:val="single"/>
        </w:rPr>
        <w:t>A participar directamente, a ser oídas a lo largo del proceso para el ejercicio de sus derechos a la verdad, justicia y reparación en el marco de las facultades establecidas en este Código, y a que se les facilite el aporte de pruebas;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f) A que se consideren sus intereses al adoptar una decisión discrecional sobre el ejercicio de la persecución del injusto;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g) A ser informadas sobre la decisión definitiva relativa a la persecución penal; a acudir, en lo pertinente, ante el juez de control de garantías, y a interponer los recursos ante el juez de conocimiento, cuando a ello hubiere lugar;</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h) </w:t>
      </w:r>
      <w:r w:rsidRPr="00FA7E5C">
        <w:rPr>
          <w:rFonts w:ascii="Times New Roman" w:hAnsi="Times New Roman" w:cs="Times New Roman"/>
          <w:sz w:val="24"/>
          <w:szCs w:val="24"/>
          <w:u w:val="single"/>
        </w:rPr>
        <w:t>A ser asistidas durante el juicio por un abogado que podrá ser designado de oficio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i) A recibir asistencia integral para su recuperación en los términos que señale la ley;</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j) A ser asistidas gratuitamente por un traductor o intérprete en el evento de no conocer el idioma oficial, o de no poder percibir el lenguaje por los órganos de los sentidos;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k) </w:t>
      </w:r>
      <w:r w:rsidRPr="00FA7E5C">
        <w:rPr>
          <w:rFonts w:ascii="Times New Roman" w:hAnsi="Times New Roman" w:cs="Times New Roman"/>
          <w:sz w:val="24"/>
          <w:szCs w:val="24"/>
          <w:u w:val="single"/>
        </w:rPr>
        <w:t>A solicitar la conversión de la acción penal pública en acción penal privada en los términos de este Código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u w:val="single"/>
        </w:rPr>
        <w:t xml:space="preserve">Parágrafo. </w:t>
      </w:r>
      <w:r w:rsidRPr="00FA7E5C">
        <w:rPr>
          <w:rFonts w:ascii="Times New Roman" w:hAnsi="Times New Roman" w:cs="Times New Roman"/>
          <w:sz w:val="24"/>
          <w:szCs w:val="24"/>
          <w:u w:val="single"/>
        </w:rPr>
        <w:t>Se entenderá que el reconocimiento de las víctimas dentro de las audiencias preliminares del proceso corresponde a una orden en los términos establecidos en el numeral segundo del artículo 161 de este código.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w:t>
      </w:r>
      <w:r w:rsidRPr="00FA7E5C">
        <w:rPr>
          <w:rFonts w:ascii="Times New Roman" w:hAnsi="Times New Roman" w:cs="Times New Roman"/>
          <w:sz w:val="24"/>
          <w:szCs w:val="24"/>
        </w:rPr>
        <w:t xml:space="preserve"> Modifíquese el Artículo 32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32. De la Corte Suprema de Justicia. La Sala de Casación Penal de la Corte Suprema de Justicia conoce: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De la casación.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De la acción de revisión cuando la sentencia o la preclusión ejecutoriadas hayan sido proferidas por esta corporación o por los tribunales.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De los recursos de apelación contra los autos y sentencias que profieran en primera instancia los tribunales superiores.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De la definición de competencia cuando se trate de aforados constitucionales y legales, o de tribunales, o de juzgados de diferentes distritos.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Del juzgamiento de los funcionarios a que se refieren los artículos 174 y 235 numeral 2 de la Constitución Política.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Del juzgamiento de los funcionarios a que se refiere el artículo 235 numeral 4 de la Constitución Política.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De la investigación y juzgamiento de los Senadores y Representantes a la Cámara.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8. De las solicitudes de cambio de radicación de procesos penales de un distrito judicial a otro durante el juzgamiento.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9. Del juzgamiento del viceprocurador, </w:t>
      </w:r>
      <w:proofErr w:type="spellStart"/>
      <w:r w:rsidRPr="00FA7E5C">
        <w:rPr>
          <w:rFonts w:ascii="Times New Roman" w:hAnsi="Times New Roman" w:cs="Times New Roman"/>
          <w:sz w:val="24"/>
          <w:szCs w:val="24"/>
        </w:rPr>
        <w:t>Vicefiscal</w:t>
      </w:r>
      <w:proofErr w:type="spellEnd"/>
      <w:r w:rsidRPr="00FA7E5C">
        <w:rPr>
          <w:rFonts w:ascii="Times New Roman" w:hAnsi="Times New Roman" w:cs="Times New Roman"/>
          <w:sz w:val="24"/>
          <w:szCs w:val="24"/>
        </w:rPr>
        <w:t xml:space="preserve">, magistrados de los consejos seccionales de la judicatura, del Tribunal Superior Militar, del Consejo Nacional Electoral, fiscales delegados ante la Corte Suprema de Justicia y Tribunales, Procuradores Delegados, Procuradores Judiciales II, Registrador Nacional del Estado Civil, los directores nacionales y seccionales de la Fiscalía General de la Nación, </w:t>
      </w:r>
      <w:r w:rsidRPr="00FA7E5C">
        <w:rPr>
          <w:rFonts w:ascii="Times New Roman" w:hAnsi="Times New Roman" w:cs="Times New Roman"/>
          <w:sz w:val="24"/>
          <w:szCs w:val="24"/>
          <w:u w:val="single"/>
        </w:rPr>
        <w:t>el Delegado contra la Criminalidad Organizada, el Delegado para las Finanzas Criminales, y el Delegado para la Seguridad Ciudadana de la Fiscalía General de la Nación; o quienes hagan sus veces</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xml:space="preserve"> Cuando los funcionarios a los que se refieren los numerales 6, 7, y 9 anteriores hubieren cesado en el ejercicio de sus cargos, el fuero solo se mantendrá para los delitos que tengan relación con las funciones desempeñadas.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lastRenderedPageBreak/>
        <w:t>ARTÍCULO 5.</w:t>
      </w:r>
      <w:r w:rsidRPr="00FA7E5C">
        <w:rPr>
          <w:rFonts w:ascii="Times New Roman" w:hAnsi="Times New Roman" w:cs="Times New Roman"/>
          <w:sz w:val="24"/>
          <w:szCs w:val="24"/>
        </w:rPr>
        <w:t xml:space="preserve"> Modifíquese el Artículo 51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51. Conexidad. Al formular la acusación el fiscal podrá solicitar al juez de conocimiento que se decrete la conexidad cuando: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El delito haya sido cometido en coparticipación criminal.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Se impute a una persona la comisión de más de un delito con una acción u omisión o varias acciones u omisiones, realizadas con unidad de tiempo y lugar.</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Se impute a una persona la comisión de varios delitos, cuando unos se han realizado con el fin de facilitar la ejecución o procurar la impunidad de otros; o con ocasión o como consecuencia de otro.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4. Se impute a una o más personas la comisión de uno o varios delitos en las que exista homogeneidad en el modo de actuar de los autores o partícipes, relación razonable de lugar y tiempo; y, la evidencia aportada a una de las actuaciones pueda influir o ayudar en la otra.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5. Cuando se requiera unificar actuaciones con el fin de lograr esclarecer patrones de conducta, cadenas de </w:t>
      </w:r>
      <w:proofErr w:type="gramStart"/>
      <w:r w:rsidRPr="00FA7E5C">
        <w:rPr>
          <w:rFonts w:ascii="Times New Roman" w:hAnsi="Times New Roman" w:cs="Times New Roman"/>
          <w:sz w:val="24"/>
          <w:szCs w:val="24"/>
          <w:u w:val="single"/>
        </w:rPr>
        <w:t>mando fácticas</w:t>
      </w:r>
      <w:proofErr w:type="gramEnd"/>
      <w:r w:rsidRPr="00FA7E5C">
        <w:rPr>
          <w:rFonts w:ascii="Times New Roman" w:hAnsi="Times New Roman" w:cs="Times New Roman"/>
          <w:sz w:val="24"/>
          <w:szCs w:val="24"/>
          <w:u w:val="single"/>
        </w:rPr>
        <w:t xml:space="preserve"> u organizaciones criminales.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1</w:t>
      </w:r>
      <w:r w:rsidRPr="00FA7E5C">
        <w:rPr>
          <w:rFonts w:ascii="Times New Roman" w:hAnsi="Times New Roman" w:cs="Times New Roman"/>
          <w:sz w:val="24"/>
          <w:szCs w:val="24"/>
          <w:u w:val="single"/>
        </w:rPr>
        <w:t>. Tanto la defensa como la víctima en la audiencia de acusación podrán solicitar se decrete la conexidad, invocando alguna de las causales anteriores, con excepción de la contenida en el numeral 5 que es exclusiva de la Fiscalía General de la Nación.</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 xml:space="preserve">ARTÍCULO 6. </w:t>
      </w:r>
      <w:r w:rsidRPr="00FA7E5C">
        <w:rPr>
          <w:rFonts w:ascii="Times New Roman" w:hAnsi="Times New Roman" w:cs="Times New Roman"/>
          <w:sz w:val="24"/>
          <w:szCs w:val="24"/>
        </w:rPr>
        <w:t>Modifíquese el Artículo 54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“Artículo 54. Trámite.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w:t>
      </w:r>
      <w:r w:rsidRPr="00FA7E5C">
        <w:rPr>
          <w:rFonts w:ascii="Times New Roman" w:hAnsi="Times New Roman" w:cs="Times New Roman"/>
          <w:sz w:val="24"/>
          <w:szCs w:val="24"/>
          <w:u w:val="single"/>
        </w:rPr>
        <w:t>Igual procedimiento se seguirá cuando la incompetencia la proponga la defensa”.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w:t>
      </w:r>
      <w:r w:rsidRPr="00FA7E5C">
        <w:rPr>
          <w:rFonts w:ascii="Times New Roman" w:hAnsi="Times New Roman" w:cs="Times New Roman"/>
          <w:sz w:val="24"/>
          <w:szCs w:val="24"/>
        </w:rPr>
        <w:t xml:space="preserve"> Modifíquese el Artículo 69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69. Requisitos de la denuncia, de la querella o de la petición.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La denuncia, querella o petición se entenderá presentada bajo la gravedad de juramento.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En todo caso, se inadmitirán las denuncias en las que aparezca acreditado que el hecho no existió o que no reviste las características de delito. Esta decisión, debidamente motivada, debe ser adoptada por el fiscal de oficio o a petición de parte y comunicada al denunciante o querellante y al Ministerio Público.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lastRenderedPageBreak/>
        <w:t>La denuncia solo podrá ampliarse por una sola vez a instancia del denunciante, o del funcionario competente, sobre aspectos de importancia para la investigación.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Los escritos anónimos que no suministren evidencias o datos concretos que permitan encauzar la investigación se archivarán por el fiscal correspondiente.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Parágrafo. La Fiscalía General de la Nación previo a la inadmisión o emisión del programa metodológico de investigación, podrá disponer la ampliación de la denuncia para adoptar la determinación de admitir o inadmitir la misma.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8.</w:t>
      </w:r>
      <w:r w:rsidRPr="00FA7E5C">
        <w:rPr>
          <w:rFonts w:ascii="Times New Roman" w:hAnsi="Times New Roman" w:cs="Times New Roman"/>
          <w:sz w:val="24"/>
          <w:szCs w:val="24"/>
        </w:rPr>
        <w:t xml:space="preserve"> Modifíquese el inciso 1 y adiciónese un parágrafo al artículo 79 del Código de Procedimiento Penal,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79. Archivo de las diligencias. Cuando la Fiscalía tenga conocimiento de un hecho respecto del cual constate que no existen motivos o circunstancias fácticas que permitan objetivamente su caracterización como delito</w:t>
      </w:r>
      <w:r w:rsidRPr="00FA7E5C">
        <w:rPr>
          <w:rFonts w:ascii="Times New Roman" w:hAnsi="Times New Roman" w:cs="Times New Roman"/>
          <w:sz w:val="24"/>
          <w:szCs w:val="24"/>
          <w:u w:val="single"/>
        </w:rPr>
        <w:t>, que indiquen su posible inexistencia, o que su ocurrencia no haya lesionado o puesto en peligro, de manera efectiva el bien jurídicamente tutelado</w:t>
      </w:r>
      <w:r w:rsidRPr="00FA7E5C">
        <w:rPr>
          <w:rFonts w:ascii="Times New Roman" w:hAnsi="Times New Roman" w:cs="Times New Roman"/>
          <w:sz w:val="24"/>
          <w:szCs w:val="24"/>
        </w:rPr>
        <w:t xml:space="preserve">, dispondrá, </w:t>
      </w:r>
      <w:r w:rsidRPr="00FA7E5C">
        <w:rPr>
          <w:rFonts w:ascii="Times New Roman" w:hAnsi="Times New Roman" w:cs="Times New Roman"/>
          <w:sz w:val="24"/>
          <w:szCs w:val="24"/>
          <w:u w:val="single"/>
        </w:rPr>
        <w:t>mediante orden motivada</w:t>
      </w:r>
      <w:r w:rsidRPr="00FA7E5C">
        <w:rPr>
          <w:rFonts w:ascii="Times New Roman" w:hAnsi="Times New Roman" w:cs="Times New Roman"/>
          <w:sz w:val="24"/>
          <w:szCs w:val="24"/>
        </w:rPr>
        <w:t xml:space="preserve">, el archivo de la actuación. </w:t>
      </w:r>
      <w:r w:rsidRPr="00FA7E5C">
        <w:rPr>
          <w:rFonts w:ascii="Times New Roman" w:hAnsi="Times New Roman" w:cs="Times New Roman"/>
          <w:sz w:val="24"/>
          <w:szCs w:val="24"/>
          <w:u w:val="single"/>
        </w:rPr>
        <w:t>La decisión deberá ser comunicada al denunciante o querellante y al Ministerio Público.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Sin embargo, si surgieren nuevos elementos probatorios la indagación se reanudará mientras no se haya extinguido la acción penal”.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9.</w:t>
      </w:r>
      <w:r w:rsidRPr="00FA7E5C">
        <w:rPr>
          <w:rFonts w:ascii="Times New Roman" w:hAnsi="Times New Roman" w:cs="Times New Roman"/>
          <w:sz w:val="24"/>
          <w:szCs w:val="24"/>
        </w:rPr>
        <w:t xml:space="preserve"> Modifíquese el Artículo 86 del Código de Procedimiento Penal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86. Administración de los bienes.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de Bienes. Tales medidas deberán inscribirse dentro de los tres (3) días siguientes a su adopción en las oficinas de registro correspondientes cuando la naturaleza del bien lo permita.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Los bienes y recursos afectados en procesos penales tramitados en vigencia de leyes anteriores a la Ley 906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lastRenderedPageBreak/>
        <w:t>Parágrafo 3</w:t>
      </w:r>
      <w:r w:rsidRPr="00FA7E5C">
        <w:rPr>
          <w:rFonts w:ascii="Times New Roman" w:hAnsi="Times New Roman" w:cs="Times New Roman"/>
          <w:sz w:val="24"/>
          <w:szCs w:val="24"/>
          <w:u w:val="single"/>
        </w:rPr>
        <w:t>. Las divisas incautadas con fines de comiso serán entregadas al Banco de la República para que las cambien por su equivalente en pesos colombianos, sin que se requiera decisión definitiva sobre la solicitud de comiso”.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10.</w:t>
      </w:r>
      <w:r w:rsidRPr="00FA7E5C">
        <w:rPr>
          <w:rFonts w:ascii="Times New Roman" w:hAnsi="Times New Roman" w:cs="Times New Roman"/>
          <w:sz w:val="24"/>
          <w:szCs w:val="24"/>
        </w:rPr>
        <w:t xml:space="preserve"> Modifíquese el Artículo 90 del Código de Procedimiento Penal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90. Omisión de pronunciamiento sobre los bienes. Si en la sentencia o decisión con efectos equivalentes se omite el pronunciamiento definitivo sobre los bienes afectados con fines de comiso, la defensa, el fiscal, </w:t>
      </w:r>
      <w:r w:rsidRPr="00FA7E5C">
        <w:rPr>
          <w:rFonts w:ascii="Times New Roman" w:hAnsi="Times New Roman" w:cs="Times New Roman"/>
          <w:sz w:val="24"/>
          <w:szCs w:val="24"/>
          <w:u w:val="single"/>
        </w:rPr>
        <w:t>la víctima</w:t>
      </w:r>
      <w:r w:rsidRPr="00FA7E5C">
        <w:rPr>
          <w:rFonts w:ascii="Times New Roman" w:hAnsi="Times New Roman" w:cs="Times New Roman"/>
          <w:sz w:val="24"/>
          <w:szCs w:val="24"/>
        </w:rPr>
        <w:t xml:space="preserve"> o el Ministerio Público podrán solicitar en la misma audiencia la adición de la decisión con el fin de obtener el respectivo pronunciamiento”.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11.</w:t>
      </w:r>
      <w:r w:rsidRPr="00FA7E5C">
        <w:rPr>
          <w:rFonts w:ascii="Times New Roman" w:hAnsi="Times New Roman" w:cs="Times New Roman"/>
          <w:sz w:val="24"/>
          <w:szCs w:val="24"/>
        </w:rPr>
        <w:t xml:space="preserve"> Modifíquese el artículo 92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92. Medidas cautelares sobre bienes. El juez de control de garantías, </w:t>
      </w:r>
      <w:r w:rsidRPr="00FA7E5C">
        <w:rPr>
          <w:rFonts w:ascii="Times New Roman" w:hAnsi="Times New Roman" w:cs="Times New Roman"/>
          <w:sz w:val="24"/>
          <w:szCs w:val="24"/>
          <w:u w:val="single"/>
        </w:rPr>
        <w:t>en audiencia preliminar posterior al acto de comunicación de que trata el artículo 286 de este Código</w:t>
      </w:r>
      <w:r w:rsidRPr="00FA7E5C">
        <w:rPr>
          <w:rFonts w:ascii="Times New Roman" w:hAnsi="Times New Roman" w:cs="Times New Roman"/>
          <w:sz w:val="24"/>
          <w:szCs w:val="24"/>
        </w:rPr>
        <w:t>, a petición del fiscal o de las víctimas, podrá decretar sobre los bienes del, imputado o del acusado las medidas cautelares necesarias para proteger el derecho a la indemnización de los perjuicios causados con el delito.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 víctima acreditará sumariamente su condición de tal, la naturaleza del daño recibido y la cuantía de su pretensión.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El embargo y secuestro de los bienes se ordenará en cuantía suficiente para garantizar el pago de los perjuicios que se hubieren ocasionado, previa caución que se debe prestar de acuerdo con el régimen establecido en el Código de Procedimiento Civil, salvo que la solicitud sea formulada por el fiscal o que exista motivo fundado para eximir de ella al </w:t>
      </w:r>
      <w:proofErr w:type="spellStart"/>
      <w:r w:rsidRPr="00FA7E5C">
        <w:rPr>
          <w:rFonts w:ascii="Times New Roman" w:hAnsi="Times New Roman" w:cs="Times New Roman"/>
          <w:sz w:val="24"/>
          <w:szCs w:val="24"/>
        </w:rPr>
        <w:t>peticionante</w:t>
      </w:r>
      <w:proofErr w:type="spellEnd"/>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una vez decretado el embargo y secuestro, designará el secuestre y adelantará el trámite posterior conforme a las normas que regulan la materia en el Código de Procedimiento Civil.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xml:space="preserve">. En los procesos en los que sean víctimas los menores de edad o los incapaces, el Ministerio Público podrá solicitar el embargo y secuestro de los bienes del imputado </w:t>
      </w:r>
      <w:r w:rsidRPr="00FA7E5C">
        <w:rPr>
          <w:rFonts w:ascii="Times New Roman" w:hAnsi="Times New Roman" w:cs="Times New Roman"/>
          <w:sz w:val="24"/>
          <w:szCs w:val="24"/>
          <w:u w:val="single"/>
        </w:rPr>
        <w:t>o acusado</w:t>
      </w:r>
      <w:r w:rsidRPr="00FA7E5C">
        <w:rPr>
          <w:rFonts w:ascii="Times New Roman" w:hAnsi="Times New Roman" w:cs="Times New Roman"/>
          <w:sz w:val="24"/>
          <w:szCs w:val="24"/>
        </w:rPr>
        <w:t xml:space="preserve"> en las mismas condiciones señaladas en este artículo, salvo la obligación de prestar caución".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 xml:space="preserve">En todo caso la Fiscalía General de la Nación podrá solicitar en audiencia preliminar ante el juez de control de garantías el embargo y secuestro de los bienes del indiciado antes de la comunicación de la imputación.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12.</w:t>
      </w:r>
      <w:r w:rsidRPr="00FA7E5C">
        <w:rPr>
          <w:rFonts w:ascii="Times New Roman" w:hAnsi="Times New Roman" w:cs="Times New Roman"/>
          <w:sz w:val="24"/>
          <w:szCs w:val="24"/>
        </w:rPr>
        <w:t xml:space="preserve"> El Código de Procedimiento Penal tendrá un nuevo artículo 96 A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“Artículo 96 A. Tránsito de medidas cautelares. Cuando la víctima acuda a la jurisdicción civil para obtener la reparación del daño causado con ocasión de la conducta que se investiga, y el juez de control de garantías o de conocimiento haya impuesto medidas cautelares sobre los bienes del indiciado, imputado o acusado, ésta deberá solicitar al juez civil, por escrito separado dentro del proceso, la imposición de las medidas cautelares que considere pertinentes, incluidas aquellas que fueron ordenadas previamente en el proceso penal. A la solicitud deberá anexar copia de la decisión por medio de la cual se adoptan las medidas cautelares por parte el juez de control de garantías o de conocimiento, según corresponda.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El juez civil valorará la decisión adoptada por el juez penal y definirá la imposición de la medida cautelar solicitada y, en caso de prosperar, ordenará la consecuente cancelación de la medida otorgada en el proceso penal. Para estos efectos seguirá el mismo procedimiento dispuesto en el Título I del Libro IV del Código General del Proceso.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Parágrafo. En los eventos en los que se adopte una decisión que ponga fin al proceso, el interesado solo podrá solicitar el levantamiento de las medidas cautelares adoptadas en el proceso sesenta (60) días después de la ejecutoria de esa decisión”.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13.</w:t>
      </w:r>
      <w:r w:rsidRPr="00FA7E5C">
        <w:rPr>
          <w:rFonts w:ascii="Times New Roman" w:hAnsi="Times New Roman" w:cs="Times New Roman"/>
          <w:sz w:val="24"/>
          <w:szCs w:val="24"/>
        </w:rPr>
        <w:t xml:space="preserve"> Modifíquese el Artículo 100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100. Afectación de bienes en delitos culposos.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entrega será definitiva cuando se garantice el pago de los perjuicios, o se hayan embargado bienes del imputado o acusado en cuantía suficiente para proteger el derecho a la indemnización de los perjuicios causados con el delito.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1</w:t>
      </w:r>
      <w:r w:rsidRPr="00FA7E5C">
        <w:rPr>
          <w:rFonts w:ascii="Times New Roman" w:hAnsi="Times New Roman" w:cs="Times New Roman"/>
          <w:sz w:val="24"/>
          <w:szCs w:val="24"/>
          <w:u w:val="single"/>
        </w:rPr>
        <w:t xml:space="preserve">. En los eventos de </w:t>
      </w:r>
      <w:proofErr w:type="gramStart"/>
      <w:r w:rsidRPr="00FA7E5C">
        <w:rPr>
          <w:rFonts w:ascii="Times New Roman" w:hAnsi="Times New Roman" w:cs="Times New Roman"/>
          <w:sz w:val="24"/>
          <w:szCs w:val="24"/>
          <w:u w:val="single"/>
        </w:rPr>
        <w:t>los incisos</w:t>
      </w:r>
      <w:proofErr w:type="gramEnd"/>
      <w:r w:rsidRPr="00FA7E5C">
        <w:rPr>
          <w:rFonts w:ascii="Times New Roman" w:hAnsi="Times New Roman" w:cs="Times New Roman"/>
          <w:sz w:val="24"/>
          <w:szCs w:val="24"/>
          <w:u w:val="single"/>
        </w:rPr>
        <w:t xml:space="preserve"> 1º y 2º de este artículo, la decisión le corresponderá al fiscal. En el caso del inciso 3º, la entrega definitiva corresponderá al Juez de Control de Garantías o al Juez de Conocimiento, según la etapa procesal pertinente. Si dentro de la actuación se presenta conciliación, indemnización integral, o una causal de extinción de la acción penal, la entrega definitiva podrá ser ordenada por el fiscal.</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2</w:t>
      </w:r>
      <w:r w:rsidRPr="00FA7E5C">
        <w:rPr>
          <w:rFonts w:ascii="Times New Roman" w:hAnsi="Times New Roman" w:cs="Times New Roman"/>
          <w:sz w:val="24"/>
          <w:szCs w:val="24"/>
          <w:u w:val="single"/>
        </w:rPr>
        <w:t>. Cuando se solicite el decreto y práctica de medidas cautelares sobre bienes de terceros civilmente responsables, este podrá proponer los medios defensivos que tenga a su disposición.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14.</w:t>
      </w:r>
      <w:r w:rsidRPr="00FA7E5C">
        <w:rPr>
          <w:rFonts w:ascii="Times New Roman" w:hAnsi="Times New Roman" w:cs="Times New Roman"/>
          <w:sz w:val="24"/>
          <w:szCs w:val="24"/>
        </w:rPr>
        <w:t xml:space="preserve"> Modifíquese el Artículo 101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101. Suspensión y cancelación de registros obtenidos fraudulentamente. En cualquier momento y antes de presentarse la acusación, a petición de la Fiscalía </w:t>
      </w:r>
      <w:r w:rsidRPr="00FA7E5C">
        <w:rPr>
          <w:rFonts w:ascii="Times New Roman" w:hAnsi="Times New Roman" w:cs="Times New Roman"/>
          <w:sz w:val="24"/>
          <w:szCs w:val="24"/>
          <w:u w:val="single"/>
        </w:rPr>
        <w:t>o de la víctima</w:t>
      </w:r>
      <w:r w:rsidRPr="00FA7E5C">
        <w:rPr>
          <w:rFonts w:ascii="Times New Roman" w:hAnsi="Times New Roman" w:cs="Times New Roman"/>
          <w:sz w:val="24"/>
          <w:szCs w:val="24"/>
        </w:rPr>
        <w:t>, el juez de control de garantías dispondrá la suspensión del poder dispositivo de los bienes sujetos a registro cuando existan motivos fundados para inferir que el título de propiedad fue obtenido fraudulentamente.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En la sentencia </w:t>
      </w:r>
      <w:r w:rsidRPr="00FA7E5C">
        <w:rPr>
          <w:rFonts w:ascii="Times New Roman" w:hAnsi="Times New Roman" w:cs="Times New Roman"/>
          <w:sz w:val="24"/>
          <w:szCs w:val="24"/>
          <w:u w:val="single"/>
        </w:rPr>
        <w:t>o en cualquier otra decisión que ponga fin al proceso</w:t>
      </w:r>
      <w:r w:rsidRPr="00FA7E5C">
        <w:rPr>
          <w:rFonts w:ascii="Times New Roman" w:hAnsi="Times New Roman" w:cs="Times New Roman"/>
          <w:sz w:val="24"/>
          <w:szCs w:val="24"/>
        </w:rPr>
        <w:t>, se ordenará la cancelación de los títulos y registros respectivos cuando exista convencimiento más allá de toda duda razonable sobre las circunstancias que originaron la anterior medida.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Lo dispuesto en este artículo también se aplicará respecto de los títulos valores sujetos a esta formalidad y obtenidos fraudulentamente.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Si estuviere acreditado que con base en las calidades jurídicas derivadas de los títulos cancelados se están adelantando procesos ante otras autoridades, se pondrá en conocimiento la decisión de cancelación para que se tomen las medidas correspondientes.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15.</w:t>
      </w:r>
      <w:r w:rsidRPr="00FA7E5C">
        <w:rPr>
          <w:rFonts w:ascii="Times New Roman" w:hAnsi="Times New Roman" w:cs="Times New Roman"/>
          <w:sz w:val="24"/>
          <w:szCs w:val="24"/>
        </w:rPr>
        <w:t xml:space="preserve"> Modifíquese el nombre del Capítulo IV, del Título II, del Libro I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“De la reparación del daño causado por la conducta punible.”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16.</w:t>
      </w:r>
      <w:r w:rsidRPr="00FA7E5C">
        <w:rPr>
          <w:rFonts w:ascii="Times New Roman" w:hAnsi="Times New Roman" w:cs="Times New Roman"/>
          <w:sz w:val="24"/>
          <w:szCs w:val="24"/>
        </w:rPr>
        <w:t xml:space="preserve">  Modifíquese el artículo 102 de la Ley 906 de 204,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102. Reparación patrimonial. </w:t>
      </w:r>
      <w:r w:rsidRPr="00FA7E5C">
        <w:rPr>
          <w:rFonts w:ascii="Times New Roman" w:hAnsi="Times New Roman" w:cs="Times New Roman"/>
          <w:sz w:val="24"/>
          <w:szCs w:val="24"/>
          <w:u w:val="single"/>
        </w:rPr>
        <w:t xml:space="preserve">Paralelamente a la actuación penal o </w:t>
      </w:r>
      <w:r w:rsidRPr="00FA7E5C">
        <w:rPr>
          <w:rFonts w:ascii="Times New Roman" w:hAnsi="Times New Roman" w:cs="Times New Roman"/>
          <w:sz w:val="24"/>
          <w:szCs w:val="24"/>
        </w:rPr>
        <w:t xml:space="preserve">una vez en firme la sentencia condenatoria, </w:t>
      </w:r>
      <w:r w:rsidRPr="00FA7E5C">
        <w:rPr>
          <w:rFonts w:ascii="Times New Roman" w:hAnsi="Times New Roman" w:cs="Times New Roman"/>
          <w:sz w:val="24"/>
          <w:szCs w:val="24"/>
          <w:u w:val="single"/>
        </w:rPr>
        <w:t>la víctima podrá acudir ante los jueces civiles, con el objetivo de que sea reparada patrimonialmente por el daño causado por la conducta punible. Las medidas cautelares decretadas en el proceso penal se regirán por lo establecido en los términos del artículo 92 de este Código</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17.</w:t>
      </w:r>
      <w:r w:rsidRPr="00FA7E5C">
        <w:rPr>
          <w:rFonts w:ascii="Times New Roman" w:hAnsi="Times New Roman" w:cs="Times New Roman"/>
          <w:sz w:val="24"/>
          <w:szCs w:val="24"/>
        </w:rPr>
        <w:t xml:space="preserve"> Modifíquese el artículo 103 de la Ley 906 de 204,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"Artículo 103. Reparación simbólica. Cuando exista una pretensión consistente en la reparación simbólica de la víctima, esta podrá ser expuesta inmediatamente después del anuncio del sentido del fallo por parte del juez de conocimiento. La medida de reparación simbólica impuesta por el juez deberá ser proporcional al delito cometido y al daño causado y deberá respetar los derechos fundamentales del procesado.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lastRenderedPageBreak/>
        <w:t>Previo traslado al procesado y a su defensa, el juez de conocimiento decidirá sobre la procedencia de la solicitud. La imposición de la medida de reparación simbólica, los términos y el tiempo en que deba cumplirse serán consignados en la sentencia."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18.</w:t>
      </w:r>
      <w:r w:rsidRPr="00FA7E5C">
        <w:rPr>
          <w:rFonts w:ascii="Times New Roman" w:hAnsi="Times New Roman" w:cs="Times New Roman"/>
          <w:sz w:val="24"/>
          <w:szCs w:val="24"/>
        </w:rPr>
        <w:t xml:space="preserve"> Modifíquese el artículo 114 de la Ley 906 de 2004, el cual quedara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114. Atribuciones. La Fiscalía General de la Nación, para el cumplimiento de sus funciones constitucionales y legales, tiene las siguientes atribuciones: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Investigar y acusar a los presuntos responsables de haber cometido un delito.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Aplicar el principio de oportunidad en los términos y condiciones definidos por este Código.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Ordenar registros, allanamientos, incautaciones e interceptaciones de comunicaciones, y poner a disposición del juez de control de garantías los elementos recogidos, para su control de legalidad dentro de las treinta y seis (36) horas siguientes.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4. Asegurar los elementos materiales probatorios, evidencia física </w:t>
      </w:r>
      <w:r w:rsidRPr="00FA7E5C">
        <w:rPr>
          <w:rFonts w:ascii="Times New Roman" w:hAnsi="Times New Roman" w:cs="Times New Roman"/>
          <w:sz w:val="24"/>
          <w:szCs w:val="24"/>
          <w:u w:val="single"/>
        </w:rPr>
        <w:t>y la información legalmente obtenida en los términos del numeral tercero del artículo 250 de la Constitución Política. En estos eventos se podrá solicitar ante Juez de Control de Garantías la conducción de personas que puedan tener información útil para la investigación.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Dirigir y coordinar las funciones de policía judicial que en forma permanente ejerce su cuerpo técnico de investigación, la Policía Nacional y los demás organismos que señale la ley.</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Velar por la protección de las víctimas, testigos y peritos que la Fiscalía pretenda presentar.</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 protección de los testigos y peritos que pretenda presentar la defensa será a cargo de la Defensoría del Pueblo, la de jurados y jueces, del Consejo Superior de la Judicatura.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Ordenar capturas, de manera excepcional y en los casos previstos en este Código, y poner a la persona capturada a disposición del juez de control de garantías, a más tardar dentro de las treinta y seis (36) horas siguientes.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8. Solicitar al juez de control de garantías las medidas necesarias que aseguren la comparecencia de los imputados al proceso penal, la conservación de la prueba y la protección de la comunidad, en especial de las víctimas.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9. Presentar la acusación ante el juez de conocimiento para dar inicio al juicio oral.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10. </w:t>
      </w:r>
      <w:r w:rsidRPr="00FA7E5C">
        <w:rPr>
          <w:rFonts w:ascii="Times New Roman" w:hAnsi="Times New Roman" w:cs="Times New Roman"/>
          <w:sz w:val="24"/>
          <w:szCs w:val="24"/>
          <w:u w:val="single"/>
        </w:rPr>
        <w:t>Solicitar ante el juez del conocimiento la preclusión de las investigaciones de acuerdo a lo establecido en este código.</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11. Intervenir en la etapa del juicio en los términos de este código.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12. Solicitar ante el juez del conocimiento las medidas judiciales necesarias para la asistencia de las víctimas, el restablecimiento del derecho y la reparación integral de los efectos del injusto.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13. Interponer y sustentar los recursos ordinarios y extraordinarios y la acción de revisión en los eventos establecidos por este código.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14. Solicitar nulidades cuando a ello hubiere lugar.</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15. Las demás que le asigne la ley.</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w:t>
      </w:r>
      <w:r w:rsidRPr="00FA7E5C">
        <w:rPr>
          <w:rFonts w:ascii="Times New Roman" w:hAnsi="Times New Roman" w:cs="Times New Roman"/>
          <w:sz w:val="24"/>
          <w:szCs w:val="24"/>
        </w:rPr>
        <w:t xml:space="preserve"> El Fiscal General de la Nación o el Fiscal Delegado, según el caso, podrá actuar con el apoyo de otro Fiscal Delegado de cualquier categoría, tanto para la investigación </w:t>
      </w:r>
      <w:r w:rsidRPr="00FA7E5C">
        <w:rPr>
          <w:rFonts w:ascii="Times New Roman" w:hAnsi="Times New Roman" w:cs="Times New Roman"/>
          <w:sz w:val="24"/>
          <w:szCs w:val="24"/>
        </w:rPr>
        <w:lastRenderedPageBreak/>
        <w:t>como para la intervención en las audiencias preliminares o de juicio. Esta misma facultad podrá aplicarse en el ejercicio de la defensa.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19.</w:t>
      </w:r>
      <w:r w:rsidRPr="00FA7E5C">
        <w:rPr>
          <w:rFonts w:ascii="Times New Roman" w:hAnsi="Times New Roman" w:cs="Times New Roman"/>
          <w:sz w:val="24"/>
          <w:szCs w:val="24"/>
        </w:rPr>
        <w:t xml:space="preserve"> El Código de Procedimiento Penal tendrá un nuevo artículo 123 A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w:t>
      </w:r>
      <w:r w:rsidRPr="00FA7E5C">
        <w:rPr>
          <w:rFonts w:ascii="Times New Roman" w:hAnsi="Times New Roman" w:cs="Times New Roman"/>
          <w:sz w:val="24"/>
          <w:szCs w:val="24"/>
          <w:u w:val="single"/>
        </w:rPr>
        <w:t>Artículo 123A. Terminación del poder. El mandato podrá terminar:</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 Por revocatoria efectuada por el indiciado, imputado, acusado o víctima;</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b) Por designación de un nuevo apoderado, salvo que se confiera para gestiones determinadas;</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c) Por renuncia presentada por el apoderado;</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d) Por disposición del Juez cuando exista defensor de confianza y este no asista por más de una vez a la audiencia programada, sin importar si media justificación alguna.</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La finalización del mandato tendrá efectos inmediatos. El Juez procederá a fijar un plazo razonable para la asignación de apoderado so pena del nombramiento de un defensor público a instancias del funcionario judicial.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20.</w:t>
      </w:r>
      <w:r w:rsidRPr="00FA7E5C">
        <w:rPr>
          <w:rFonts w:ascii="Times New Roman" w:hAnsi="Times New Roman" w:cs="Times New Roman"/>
          <w:sz w:val="24"/>
          <w:szCs w:val="24"/>
        </w:rPr>
        <w:t xml:space="preserve"> Modifíquese el artículo 125 de la Ley 906 de 2004, el cual quedara así</w:t>
      </w:r>
      <w:proofErr w:type="gramStart"/>
      <w:r w:rsidRPr="00FA7E5C">
        <w:rPr>
          <w:rFonts w:ascii="Times New Roman" w:hAnsi="Times New Roman" w:cs="Times New Roman"/>
          <w:sz w:val="24"/>
          <w:szCs w:val="24"/>
        </w:rPr>
        <w:t>::</w:t>
      </w:r>
      <w:proofErr w:type="gramEnd"/>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125. Deberes y atribuciones especiales. En especial la defensa tendrá los siguientes deberes y atribuciones: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Asistir personalmente al imputado desde su captura, a partir de la cual deberá garantizársele la oportunidad de mantener comunicación privada con él.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Disponer de tiempo y medios razonables para la preparación de la defensa, incluida la posibilidad excepcional de obtener prórrogas justificadas para la celebración del juicio oral.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En el evento de una acusación, conocer en su oportunidad todos los elementos probatorios, evidencia física e informaciones de que tenga noticia la Fiscalía General de la Nación, incluidos los que sean favorables al procesado.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Controvertir las pruebas, aunque sean practicadas en forma anticipada al juicio oral.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Interrogar y contrainterrogar en audiencia pública a los testigos y peritos.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Solicitar al juez la comparecencia, aun por medios coercitivos, de los testigos y peritos que puedan arrojar luz sobre los hechos materia de debate en el juicio oral.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Interponer y sustentar, si lo estimare conveniente, las nulidades, los recursos ordinarios y extraordinarios y la acción de revisión.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8. No ser obligado a presentar prueba de descargo o contraprueba, ni a intervenir activamente durante el juicio oral.</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r w:rsidRPr="00FA7E5C">
        <w:rPr>
          <w:rFonts w:ascii="Times New Roman" w:hAnsi="Times New Roman" w:cs="Times New Roman"/>
          <w:sz w:val="24"/>
          <w:szCs w:val="24"/>
          <w:u w:val="single"/>
        </w:rPr>
        <w:t xml:space="preserve">Cuando exista afectación de derechos fundamentales, el defensor deberá obtener autorización previa del Juez de Control de Garantías; de igual modo podrá acudir ante el Juez de Control de </w:t>
      </w:r>
      <w:r w:rsidRPr="00FA7E5C">
        <w:rPr>
          <w:rFonts w:ascii="Times New Roman" w:hAnsi="Times New Roman" w:cs="Times New Roman"/>
          <w:sz w:val="24"/>
          <w:szCs w:val="24"/>
          <w:u w:val="single"/>
        </w:rPr>
        <w:lastRenderedPageBreak/>
        <w:t>Garantías en audiencia pública o reservada cuando se le obstruya la actividad investigativa a la defensa.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10. Abstenerse de revelar información relacionada con el proceso y su cliente, conforme a la ley”.</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21.</w:t>
      </w:r>
      <w:r w:rsidRPr="00FA7E5C">
        <w:rPr>
          <w:rFonts w:ascii="Times New Roman" w:hAnsi="Times New Roman" w:cs="Times New Roman"/>
          <w:sz w:val="24"/>
          <w:szCs w:val="24"/>
        </w:rPr>
        <w:t xml:space="preserve"> Modifíquese el artículo 137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137. Intervención de las víctimas en la actuación penal. Las víctimas del injusto, en garantía de los derechos a la verdad, la justicia y la reparación, tienen el derecho de intervenir en todas las fases de la actuación penal, de acuerdo con las siguientes reglas: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Las víctimas podrán solicitar al fiscal en cualquier momento de la actuación medidas de protección frente a probables hostigamientos, amenazas o atentados en su contra o de sus familiares.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El interrogatorio de las víctimas debe realizarse con respeto de su situación personal, derechos y dignidad.</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Si la víctima no contare con medios suficientes para contratar un abogado a fin de intervenir, previa solicitud y comprobación sumaria de la necesidad, la Fiscalía General de la Nación le designará uno de oficio.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El juez podrá en forma excepcional, y con el fin de proteger a las víctimas, decretar que durante su intervención el juicio se celebre a puerta cerrada.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7. </w:t>
      </w:r>
      <w:r w:rsidRPr="00FA7E5C">
        <w:rPr>
          <w:rFonts w:ascii="Times New Roman" w:hAnsi="Times New Roman" w:cs="Times New Roman"/>
          <w:sz w:val="24"/>
          <w:szCs w:val="24"/>
          <w:u w:val="single"/>
        </w:rPr>
        <w:t>Las víctimas tienen facultades de participación en la actuación penal en todas sus fases, con derecho a intervenir y ser oídas en las audiencias preliminares y ante los jueces de conocimiento</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8. </w:t>
      </w:r>
      <w:r w:rsidRPr="00FA7E5C">
        <w:rPr>
          <w:rFonts w:ascii="Times New Roman" w:hAnsi="Times New Roman" w:cs="Times New Roman"/>
          <w:sz w:val="24"/>
          <w:szCs w:val="24"/>
          <w:u w:val="single"/>
        </w:rPr>
        <w:t>Las víctimas podrán solicitar la conversión de la acción penal pública en acción penal privada en los términos de este Código.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22.</w:t>
      </w:r>
      <w:r w:rsidRPr="00FA7E5C">
        <w:rPr>
          <w:rFonts w:ascii="Times New Roman" w:hAnsi="Times New Roman" w:cs="Times New Roman"/>
          <w:sz w:val="24"/>
          <w:szCs w:val="24"/>
        </w:rPr>
        <w:t xml:space="preserve"> Modifíquese el artículo 139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139. Deberes específicos de los jueces. Sin perjuicio de lo establecido en el artículo anterior, constituyen deberes especiales de los jueces, en relación con el proceso penal, los siguientes: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1. Evitar las maniobras dilatorias y todos aquellos actos que sean manifiestamente inconducentes, impertinentes o superfluos, mediante el rechazo de plano de los mismos. </w:t>
      </w:r>
      <w:r w:rsidRPr="00FA7E5C">
        <w:rPr>
          <w:rFonts w:ascii="Times New Roman" w:hAnsi="Times New Roman" w:cs="Times New Roman"/>
          <w:sz w:val="24"/>
          <w:szCs w:val="24"/>
          <w:u w:val="single"/>
        </w:rPr>
        <w:t>El juez podrá verificar las justificaciones presentadas por las partes tendientes al aplazamiento de las actuaciones, para lo cual podrá solicitar la colaboración de otras autoridades y particulares. En caso de advertir la existencia de maniobras dilatorias, el juez deberá compulsar copias al Consejo Superior de la Judicatura, sin perjuicio del ejercicio de lo establecido en el numeral segundo de este artículo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2. Ejercer los poderes disciplinarios y aplicar las medidas correccionales </w:t>
      </w:r>
      <w:proofErr w:type="gramStart"/>
      <w:r w:rsidRPr="00FA7E5C">
        <w:rPr>
          <w:rFonts w:ascii="Times New Roman" w:hAnsi="Times New Roman" w:cs="Times New Roman"/>
          <w:sz w:val="24"/>
          <w:szCs w:val="24"/>
        </w:rPr>
        <w:t>atribuidos</w:t>
      </w:r>
      <w:proofErr w:type="gramEnd"/>
      <w:r w:rsidRPr="00FA7E5C">
        <w:rPr>
          <w:rFonts w:ascii="Times New Roman" w:hAnsi="Times New Roman" w:cs="Times New Roman"/>
          <w:sz w:val="24"/>
          <w:szCs w:val="24"/>
        </w:rPr>
        <w:t xml:space="preserve"> por este código y demás normas aplicables, con el fin de asegurar la eficiencia y transparencia de la administración de justicia.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3. Corregir los actos irregulares.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Motivar breve y adecuadamente las medidas que afecten los derechos fundamentales del imputado y de los demás intervinientes.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Decidir la controversia suscitada durante las audiencias para lo cual no podrá abstenerse so pretexto de ignorancia, silencio, contradicción, deficiencia, oscuridad o ambigüedad de las normas aplicables.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Dejar constancia expresa de haber cumplido con las normas referentes a los derechos y garantías del imputado o acusado y de las víctimas.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23.</w:t>
      </w:r>
      <w:r w:rsidRPr="00FA7E5C">
        <w:rPr>
          <w:rFonts w:ascii="Times New Roman" w:hAnsi="Times New Roman" w:cs="Times New Roman"/>
          <w:sz w:val="24"/>
          <w:szCs w:val="24"/>
        </w:rPr>
        <w:t xml:space="preserve"> Modifíquese el artículo 142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142. Deberes específicos de la Fiscalía General de la Nación. Sin perjuicio de lo dispuesto en los artículos anteriores, constituyen deberes esenciales de la Fiscalía General de la Nación los siguientes: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Proceder con objetividad, respetando las directrices del Fiscal General de la Nación.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Suministrar, por conducto del juez de conocimiento, todos los elementos probatorios y evidencia física e informaciones de que tenga noticia, incluidos los que le sean favorables al acusado.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Asistir de manera ininterrumpida a las audiencias que sean convocadas e intervenir en desarrollo del ejercicio de la acción penal.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Informar a la autoridad competente de cualquier irregularidad que observe en el transcurso de la actuación de los funcionarios que ejercen atribuciones de policía judicial.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5. </w:t>
      </w:r>
      <w:r w:rsidRPr="00FA7E5C">
        <w:rPr>
          <w:rFonts w:ascii="Times New Roman" w:hAnsi="Times New Roman" w:cs="Times New Roman"/>
          <w:sz w:val="24"/>
          <w:szCs w:val="24"/>
          <w:u w:val="single"/>
        </w:rPr>
        <w:t>Asegurar los elementos materiales probatorios, evidencia física y la información legalmente obtenida en los términos del numeral 3° del Artículo 250 de la Constitución Política.</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En estos eventos se podrá solicitar ante juez de control de garantías la conducción de personas que puedan tener información útil para la investigación; para lo cual deberá acreditar la reticencia a comparecer, así como la utilidad de su declaración</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24.</w:t>
      </w:r>
      <w:r w:rsidRPr="00FA7E5C">
        <w:rPr>
          <w:rFonts w:ascii="Times New Roman" w:hAnsi="Times New Roman" w:cs="Times New Roman"/>
          <w:sz w:val="24"/>
          <w:szCs w:val="24"/>
        </w:rPr>
        <w:t xml:space="preserve"> Modifíquese el parágrafo del artículo 143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143. Poderes y medidas correccionales. El juez, de oficio o a solicitud de parte, podrá tomar las siguientes medidas correccionales: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1. A quien formule una recusación o manifieste un impedimento ostensiblemente </w:t>
      </w:r>
      <w:proofErr w:type="gramStart"/>
      <w:r w:rsidRPr="00FA7E5C">
        <w:rPr>
          <w:rFonts w:ascii="Times New Roman" w:hAnsi="Times New Roman" w:cs="Times New Roman"/>
          <w:sz w:val="24"/>
          <w:szCs w:val="24"/>
        </w:rPr>
        <w:t>infundados</w:t>
      </w:r>
      <w:proofErr w:type="gramEnd"/>
      <w:r w:rsidRPr="00FA7E5C">
        <w:rPr>
          <w:rFonts w:ascii="Times New Roman" w:hAnsi="Times New Roman" w:cs="Times New Roman"/>
          <w:sz w:val="24"/>
          <w:szCs w:val="24"/>
        </w:rPr>
        <w:t>, lo sancionará con multa de uno (1) hasta diez (10) salarios mínimos legales mensuales vigentes.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A quien viole una reserva legalmente establecida lo sancionará con multa de uno (1) a cinco (5) salarios mínimos legales mensuales vigentes. En este caso el funcionario que conozca de la actuación será el competente para imponer la correspondiente sanción.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3. </w:t>
      </w:r>
      <w:r w:rsidRPr="00FA7E5C">
        <w:rPr>
          <w:rFonts w:ascii="Times New Roman" w:hAnsi="Times New Roman" w:cs="Times New Roman"/>
          <w:sz w:val="24"/>
          <w:szCs w:val="24"/>
          <w:u w:val="single"/>
        </w:rPr>
        <w:t>A la persona natural o al representante legal de la persona jurídica</w:t>
      </w:r>
      <w:r w:rsidRPr="00FA7E5C">
        <w:rPr>
          <w:rFonts w:ascii="Times New Roman" w:hAnsi="Times New Roman" w:cs="Times New Roman"/>
          <w:sz w:val="24"/>
          <w:szCs w:val="24"/>
        </w:rPr>
        <w:t xml:space="preserve"> que impida u obstaculice la realización de cualquier diligencia durante la actuación procesal </w:t>
      </w:r>
      <w:r w:rsidRPr="00FA7E5C">
        <w:rPr>
          <w:rFonts w:ascii="Times New Roman" w:hAnsi="Times New Roman" w:cs="Times New Roman"/>
          <w:sz w:val="24"/>
          <w:szCs w:val="24"/>
          <w:u w:val="single"/>
        </w:rPr>
        <w:t xml:space="preserve">o sea renuente a dar respuesta a los requerimientos realizados por las partes e intervinientes, </w:t>
      </w:r>
      <w:r w:rsidRPr="00FA7E5C">
        <w:rPr>
          <w:rFonts w:ascii="Times New Roman" w:hAnsi="Times New Roman" w:cs="Times New Roman"/>
          <w:sz w:val="24"/>
          <w:szCs w:val="24"/>
        </w:rPr>
        <w:t xml:space="preserve">se le impondrá arresto inconmutable de (1) a (30) días según la gravedad de la obstrucción y </w:t>
      </w:r>
      <w:r w:rsidRPr="00FA7E5C">
        <w:rPr>
          <w:rFonts w:ascii="Times New Roman" w:hAnsi="Times New Roman" w:cs="Times New Roman"/>
          <w:sz w:val="24"/>
          <w:szCs w:val="24"/>
        </w:rPr>
        <w:lastRenderedPageBreak/>
        <w:t>tomará las medidas conducentes para lograr la práctica inmediata de la prueba y/o el cumplimiento del requerimiento.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A quien solicite pruebas manifiestamente inconducentes o impertinentes lo sancionará con multa de uno (1) hasta diez (10) salarios mínimos legales mensuales vigentes.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A quien en el proceso actúe con temeridad o mala fe, lo sancionará con multa de uno (1) hasta diez (10) salarios mínimos legales mensuales vigentes.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8. Al establecimiento de salud que reciba o dé entrada a persona lesionada sin dar aviso inmediato a la autoridad respectiva, lo sancionará con multa de diez (10) hasta cien (100) salarios mínimos legales mensuales vigentes.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En los casos anteriores, la medida podrá ser promovida de oficio o a solicitud de parte</w:t>
      </w:r>
      <w:r w:rsidRPr="00FA7E5C">
        <w:rPr>
          <w:rFonts w:ascii="Times New Roman" w:hAnsi="Times New Roman" w:cs="Times New Roman"/>
          <w:sz w:val="24"/>
          <w:szCs w:val="24"/>
        </w:rPr>
        <w:t xml:space="preserve">. Si la medida correccional fuere multa o arresto, su aplicación deberá estar precedida de la oportunidad para que el presunto infractor exprese las razones de su oposición, si las hubiere, </w:t>
      </w:r>
      <w:r w:rsidRPr="00FA7E5C">
        <w:rPr>
          <w:rFonts w:ascii="Times New Roman" w:hAnsi="Times New Roman" w:cs="Times New Roman"/>
          <w:sz w:val="24"/>
          <w:szCs w:val="24"/>
          <w:u w:val="single"/>
        </w:rPr>
        <w:t>y cualquiera de las partes podrá presentar los elementos necesarios para decidir su procedencia</w:t>
      </w:r>
      <w:r w:rsidRPr="00FA7E5C">
        <w:rPr>
          <w:rFonts w:ascii="Times New Roman" w:hAnsi="Times New Roman" w:cs="Times New Roman"/>
          <w:sz w:val="24"/>
          <w:szCs w:val="24"/>
        </w:rPr>
        <w:t xml:space="preserve">. Si el funcionario impone la sanción, el infractor podrá solicitar la reconsideración de la medida que, de mantenerse, dará origen a la ejecución inmediata de la sanción. </w:t>
      </w:r>
      <w:r w:rsidRPr="00FA7E5C">
        <w:rPr>
          <w:rFonts w:ascii="Times New Roman" w:hAnsi="Times New Roman" w:cs="Times New Roman"/>
          <w:sz w:val="24"/>
          <w:szCs w:val="24"/>
          <w:u w:val="single"/>
        </w:rPr>
        <w:t>Contra ella proceda recurso de apelación si la sanción fuere de arresto</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25.</w:t>
      </w:r>
      <w:r w:rsidRPr="00FA7E5C">
        <w:rPr>
          <w:rFonts w:ascii="Times New Roman" w:hAnsi="Times New Roman" w:cs="Times New Roman"/>
          <w:sz w:val="24"/>
          <w:szCs w:val="24"/>
        </w:rPr>
        <w:t xml:space="preserve"> Modifíquese el artículo 149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149. Principio de publicidad.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podrá limitar la publicidad de todos los procedimientos o parte de ellos, previa audiencia privada con los intervinientes, de conformidad con los artículos siguientes y sin limitar el principio de contradicción.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Estas medidas deberán sujetarse al principio de necesidad y si desaparecieren las causas que dieron origen a esa restricción, el juez la levantará de oficio o a petición de parte.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El acceso a las audiencias de la prensa y los medios audiovisuales que para el ejercicio de la comunicación sean necesarios constituye la regla general, su restricción solo procederá en la forma y por los motivos expresamente señalados en los artículos 150, 151 y 152 de este Código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w:t>
      </w:r>
      <w:r w:rsidRPr="00FA7E5C">
        <w:rPr>
          <w:rFonts w:ascii="Times New Roman" w:hAnsi="Times New Roman" w:cs="Times New Roman"/>
          <w:sz w:val="24"/>
          <w:szCs w:val="24"/>
        </w:rPr>
        <w:t xml:space="preserve">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26.</w:t>
      </w:r>
      <w:r w:rsidRPr="00FA7E5C">
        <w:rPr>
          <w:rFonts w:ascii="Times New Roman" w:hAnsi="Times New Roman" w:cs="Times New Roman"/>
          <w:sz w:val="24"/>
          <w:szCs w:val="24"/>
        </w:rPr>
        <w:t xml:space="preserve"> Modifíquese el artículo 152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152. Restricciones a la publicidad por motivos de interés de la justicia. Cuando los intereses de la justicia se vean seriamente perjudicados o amenazados por la publicidad del juicio o las audiencias preliminares, el juez, mediante auto motivado, podrá imponer a los presentes el deber de guardar reserva sobre lo que ven, oyen o perciben, o limitar total o parcialmente el acceso del público o de la prensa.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En todo caso el acceso a la prensa implicará la autorización para el ingreso de los medios audiovisuales necesarios con el objeto de que se haga una reproducción fiel de lo acontecido en las audiencias</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27.</w:t>
      </w:r>
      <w:r w:rsidRPr="00FA7E5C">
        <w:rPr>
          <w:rFonts w:ascii="Times New Roman" w:hAnsi="Times New Roman" w:cs="Times New Roman"/>
          <w:sz w:val="24"/>
          <w:szCs w:val="24"/>
        </w:rPr>
        <w:t xml:space="preserve"> Modifíquese el artículo 154 de la Ley 906 de 2004, el cual quedara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154. Modalidades. Se tramitará en audiencia preliminar:</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 El acto de poner a disposición del juez de control de garantías los elementos recogidos en registros, allanamientos e interceptación de comunicaciones ordenadas por la Fiscalía, para su control de legalidad dentro de las treinta y seis (36) horas siguientes.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La práctica de una prueba anticipada.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La que ordena la adopción de medidas necesarias para la protección de víctimas y testigos.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La que resuelve sobre la petición de medida de aseguramiento.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La que resuelve sobre la petición de medidas cautelares reales.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6. El control de legalidad sobre la aplicación del principio de oportunidad.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Las peticiones de libertad que se presenten con anterioridad al anuncio del sentido del fallo.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8. </w:t>
      </w:r>
      <w:r w:rsidRPr="00FA7E5C">
        <w:rPr>
          <w:rFonts w:ascii="Times New Roman" w:hAnsi="Times New Roman" w:cs="Times New Roman"/>
          <w:sz w:val="24"/>
          <w:szCs w:val="24"/>
          <w:u w:val="single"/>
        </w:rPr>
        <w:t>La que resuelve peticiones de medidas provisionales para la cesación de los efectos producidos por el delito y restablecimiento de derechos.</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9. Las que resuelvan asuntos similares a los anteriores."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28.</w:t>
      </w:r>
      <w:r w:rsidRPr="00FA7E5C">
        <w:rPr>
          <w:rFonts w:ascii="Times New Roman" w:hAnsi="Times New Roman" w:cs="Times New Roman"/>
          <w:sz w:val="24"/>
          <w:szCs w:val="24"/>
        </w:rPr>
        <w:t xml:space="preserve"> Modifíquese el artículo 155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155º. Publicidad. Las audiencias preliminares deben realizarse con la presencia </w:t>
      </w:r>
      <w:r w:rsidRPr="00FA7E5C">
        <w:rPr>
          <w:rFonts w:ascii="Times New Roman" w:hAnsi="Times New Roman" w:cs="Times New Roman"/>
          <w:sz w:val="24"/>
          <w:szCs w:val="24"/>
          <w:u w:val="single"/>
        </w:rPr>
        <w:t>de quien las solicita y de quienes habiendo sido citados se hicieren presentes, salvo que por su naturaleza la determinación deba tomarse en audiencia reservada</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 </w:t>
      </w:r>
      <w:r w:rsidRPr="00FA7E5C">
        <w:rPr>
          <w:rFonts w:ascii="Times New Roman" w:hAnsi="Times New Roman" w:cs="Times New Roman"/>
          <w:sz w:val="24"/>
          <w:szCs w:val="24"/>
          <w:u w:val="single"/>
        </w:rPr>
        <w:t>y las solicitadas como reservadas por apoderados de defensa y víctimas para la autorización de actividades de investigación conforme a lo facultado en el numeral 9 del Art. 125 de este código.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asistencia del Ministerio Público no es obligatoria. </w:t>
      </w:r>
      <w:r w:rsidRPr="00FA7E5C">
        <w:rPr>
          <w:rFonts w:ascii="Times New Roman" w:hAnsi="Times New Roman" w:cs="Times New Roman"/>
          <w:sz w:val="24"/>
          <w:szCs w:val="24"/>
          <w:u w:val="single"/>
        </w:rPr>
        <w:t>En todo caso la inasistencia justificada de las  personas naturales o jurídicas citadas, que pudiesen resultar afectadas con la decisión, será motivo de aplazamiento o reprogramación por una sola vez, momento en el cual se podrá celebrar válidamente la audiencia preliminar sin su presencia quedando sometidos a los efectos de la decisión.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29</w:t>
      </w:r>
      <w:r w:rsidRPr="00FA7E5C">
        <w:rPr>
          <w:rFonts w:ascii="Times New Roman" w:hAnsi="Times New Roman" w:cs="Times New Roman"/>
          <w:sz w:val="24"/>
          <w:szCs w:val="24"/>
        </w:rPr>
        <w:t>. Modifíquese el artículo 169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169. Formas</w:t>
      </w:r>
      <w:r w:rsidRPr="00FA7E5C">
        <w:rPr>
          <w:rFonts w:ascii="Times New Roman" w:hAnsi="Times New Roman" w:cs="Times New Roman"/>
          <w:i/>
          <w:sz w:val="24"/>
          <w:szCs w:val="24"/>
        </w:rPr>
        <w:t>.</w:t>
      </w:r>
      <w:r w:rsidRPr="00FA7E5C">
        <w:rPr>
          <w:rFonts w:ascii="Times New Roman" w:hAnsi="Times New Roman" w:cs="Times New Roman"/>
          <w:sz w:val="24"/>
          <w:szCs w:val="24"/>
        </w:rPr>
        <w:t> Por regla general las providencias se notificarán a las partes en estrados.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De manera excepcional procederá la notificación mediante comunicación escrita dirigida por telegrama, correo certificado, facsímil, correo electrónico o cualquier otro medio idóneo que haya sido indicado por las partes.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Si el imputado o acusado se encontrare privado de la libertad, las providencias notificadas en audiencia le serán comunicadas en el establecimiento de reclusión, de lo cual se dejará la respectiva constancia.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Las decisiones adoptadas con posterioridad al vencimiento del término legal deberán ser notificadas personalmente a las partes que tuvieren vocación de impugnación.</w:t>
      </w:r>
    </w:p>
    <w:p w:rsidR="00600D79" w:rsidRPr="00FA7E5C" w:rsidRDefault="00600D79" w:rsidP="00600D79">
      <w:pPr>
        <w:pStyle w:val="Sinespaciado"/>
        <w:jc w:val="both"/>
        <w:rPr>
          <w:rFonts w:ascii="Times New Roman" w:hAnsi="Times New Roman" w:cs="Times New Roman"/>
          <w:b/>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w:t>
      </w:r>
      <w:r w:rsidRPr="00FA7E5C">
        <w:rPr>
          <w:rFonts w:ascii="Times New Roman" w:hAnsi="Times New Roman" w:cs="Times New Roman"/>
          <w:sz w:val="24"/>
          <w:szCs w:val="24"/>
          <w:u w:val="single"/>
        </w:rPr>
        <w:t xml:space="preserve"> Salvo las notificaciones de autos que se hagan en estrados, la comunicación de este tipo de providencias se debe hacer con la entrega escrita de la misma,  a través de la secretaría del juzgado correspondiente.”</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lastRenderedPageBreak/>
        <w:t>ARTÍCULO 30.</w:t>
      </w:r>
      <w:r w:rsidRPr="00FA7E5C">
        <w:rPr>
          <w:rFonts w:ascii="Times New Roman" w:hAnsi="Times New Roman" w:cs="Times New Roman"/>
          <w:sz w:val="24"/>
          <w:szCs w:val="24"/>
        </w:rPr>
        <w:t xml:space="preserve"> Modifíquese el Artículo 175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175. Duración de los procedimientos. Salvo lo previsto en el artículo 294 de este Código, el término de que dispone la Fiscalía para presentar escrito de acusación o solicitar la preclusión no podrá exceder de noventa (90) días </w:t>
      </w:r>
      <w:r w:rsidRPr="00FA7E5C">
        <w:rPr>
          <w:rFonts w:ascii="Times New Roman" w:hAnsi="Times New Roman" w:cs="Times New Roman"/>
          <w:sz w:val="24"/>
          <w:szCs w:val="24"/>
          <w:u w:val="single"/>
        </w:rPr>
        <w:t>contados desde el día siguiente de la comunicación establecida en el artículo 286 o de la solicitud de medida de aseguramiento. El término se contará a partir de la realización del primero de cualquiera de los actos anteriores</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término será de ciento veinte (120) días cuando se presente concurso de delitos, o cuando sean tres o más los imputados o cuando se trate de delitos de competencia de los Jueces Penales de Circuito Especializados.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audiencia preparatoria deberá realizarse por el juez de conocimiento a más tardar dentro de los cuarenta y cinco (45) días siguientes a la audiencia de formulación de acusación.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audiencia del juicio oral deberá iniciarse dentro de los cuarenta y cinco (45) días siguientes a la terminación de la audiencia preparatoria.”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xml:space="preserve"> La fiscalía tendrá un término máximo de dos años contados a partir de la recepción de la noticia </w:t>
      </w:r>
      <w:proofErr w:type="spellStart"/>
      <w:r w:rsidRPr="00FA7E5C">
        <w:rPr>
          <w:rFonts w:ascii="Times New Roman" w:hAnsi="Times New Roman" w:cs="Times New Roman"/>
          <w:sz w:val="24"/>
          <w:szCs w:val="24"/>
        </w:rPr>
        <w:t>criminis</w:t>
      </w:r>
      <w:proofErr w:type="spellEnd"/>
      <w:r w:rsidRPr="00FA7E5C">
        <w:rPr>
          <w:rFonts w:ascii="Times New Roman" w:hAnsi="Times New Roman" w:cs="Times New Roman"/>
          <w:sz w:val="24"/>
          <w:szCs w:val="24"/>
        </w:rPr>
        <w:t xml:space="preserve"> para comunicar lo dispuesto en el Articulo 286 u ordenar motivadamente el archivo de la indagación. Este término máximo será de tres años cuando se presente concurso de delitos, o cuando sean tres o más los indiciados. Cuando se trate de investigaciones por delitos que sean de competencia de los jueces penales de circuito especializado el término máximo será de cinco años.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anteriores términos se duplicarán cuando sean (3) o más los imputados o los delitos objeto de la investigación.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31.</w:t>
      </w:r>
      <w:r w:rsidRPr="00FA7E5C">
        <w:rPr>
          <w:rFonts w:ascii="Times New Roman" w:hAnsi="Times New Roman" w:cs="Times New Roman"/>
          <w:sz w:val="24"/>
          <w:szCs w:val="24"/>
        </w:rPr>
        <w:t xml:space="preserve"> Modifíquese el Artículo 177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177. Efectos. La apelación se concederá:</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En el efecto suspensivo, en cuyo caso la competencia de quien profirió la decisión objeto de recurso se suspenderá desde ese momento hasta cuando la apelación se resuelva: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La sentencia condenatoria o absolutoria.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El auto que decreta o rechaza la solicitud de preclusión.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El auto que decide la nulidad.</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4. El auto que niega la práctica de prueba en el juicio oral;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5. El auto que decide sobre la exclusión de una prueba del juicio oral;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En el efecto devolutivo, en cuyo caso no se suspenderá el cumplimiento de la decisión apelada ni el curso de la actuación: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El auto que resuelve sobre la imposición, revocatoria o sustitución de una medida de aseguramiento.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El auto que resuelve sobre la imposición de una medida cautelar o de protección que afecte bienes del indiciado, imputado o acusado.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El auto que resuelve sobre la legalización de captura.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El auto que admite la práctica de la prueba anticipada.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7. </w:t>
      </w:r>
      <w:r w:rsidRPr="00FA7E5C">
        <w:rPr>
          <w:rFonts w:ascii="Times New Roman" w:hAnsi="Times New Roman" w:cs="Times New Roman"/>
          <w:sz w:val="24"/>
          <w:szCs w:val="24"/>
          <w:u w:val="single"/>
        </w:rPr>
        <w:t>El auto que niega la aplicación del principio de oportunidad</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8. Los demás asuntos no enunciados en los numerales anteriores”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32.</w:t>
      </w:r>
      <w:r w:rsidRPr="00FA7E5C">
        <w:rPr>
          <w:rFonts w:ascii="Times New Roman" w:hAnsi="Times New Roman" w:cs="Times New Roman"/>
          <w:sz w:val="24"/>
          <w:szCs w:val="24"/>
        </w:rPr>
        <w:t xml:space="preserve"> Modifíquese el Artículo 178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178. Trámite del recurso de apelación contra autos. Se interpondrá, sustentará y correrá traslado a los no impugnantes en la respectiva audiencia. Si el recurso fuere debidamente sustentado se concederá de inmediato ante el superior en el efecto previsto en el artículo anterior.</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Recibida la actuación objeto del recurso el juez lo resolverá por escrito en el término de cinco (5) días y citará a las partes e intervinientes para la comunicación de la decisión a través de secretaría, dentro de los cinco (5) días siguientes</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33.</w:t>
      </w:r>
      <w:r w:rsidRPr="00FA7E5C">
        <w:rPr>
          <w:rFonts w:ascii="Times New Roman" w:hAnsi="Times New Roman" w:cs="Times New Roman"/>
          <w:sz w:val="24"/>
          <w:szCs w:val="24"/>
        </w:rPr>
        <w:t xml:space="preserve"> Modifíquese el Artículo 179 de la Ley 906 de 2004, el cual quedara así:</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w:t>
      </w:r>
      <w:r w:rsidRPr="00FA7E5C">
        <w:rPr>
          <w:rFonts w:ascii="Times New Roman" w:hAnsi="Times New Roman" w:cs="Times New Roman"/>
          <w:sz w:val="24"/>
          <w:szCs w:val="24"/>
        </w:rPr>
        <w:t>Artículo 179. </w:t>
      </w:r>
      <w:r w:rsidRPr="00FA7E5C">
        <w:rPr>
          <w:rFonts w:ascii="Times New Roman" w:hAnsi="Times New Roman" w:cs="Times New Roman"/>
          <w:sz w:val="24"/>
          <w:szCs w:val="24"/>
          <w:u w:val="single"/>
        </w:rPr>
        <w:t xml:space="preserve">Trámite del recurso de apelación contra sentencias. El recurso se interpondrá y concederá dentro de los cinco días siguientes a la comunicación del fallo, se presentará y sustentará de manera escrita y se correrá traslado a los no recurrentes en los cinco (5) días siguientes, </w:t>
      </w:r>
      <w:proofErr w:type="spellStart"/>
      <w:r w:rsidRPr="00FA7E5C">
        <w:rPr>
          <w:rFonts w:ascii="Times New Roman" w:hAnsi="Times New Roman" w:cs="Times New Roman"/>
          <w:sz w:val="24"/>
          <w:szCs w:val="24"/>
          <w:u w:val="single"/>
        </w:rPr>
        <w:t>precluido</w:t>
      </w:r>
      <w:proofErr w:type="spellEnd"/>
      <w:r w:rsidRPr="00FA7E5C">
        <w:rPr>
          <w:rFonts w:ascii="Times New Roman" w:hAnsi="Times New Roman" w:cs="Times New Roman"/>
          <w:sz w:val="24"/>
          <w:szCs w:val="24"/>
          <w:u w:val="single"/>
        </w:rPr>
        <w:t xml:space="preserve"> este término, se correrá traslado común a los no recurrentes por el término de cinco (5) días.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El juez resolverá la apelación en el término de 15 días y citará a las partes e intervinientes para lectura </w:t>
      </w:r>
      <w:r w:rsidRPr="00FA7E5C">
        <w:rPr>
          <w:rFonts w:ascii="Times New Roman" w:hAnsi="Times New Roman" w:cs="Times New Roman"/>
          <w:sz w:val="24"/>
          <w:szCs w:val="24"/>
          <w:u w:val="single"/>
        </w:rPr>
        <w:t>de la parte decisoria del fallo y entrega de la providencia por escrito</w:t>
      </w:r>
      <w:r w:rsidRPr="00FA7E5C">
        <w:rPr>
          <w:rFonts w:ascii="Times New Roman" w:hAnsi="Times New Roman" w:cs="Times New Roman"/>
          <w:sz w:val="24"/>
          <w:szCs w:val="24"/>
        </w:rPr>
        <w:t>, dentro de los diez (10) días siguientes.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Si la competencia fuera del Tribunal Superior, el magistrado ponente cuenta con diez días (10) para registrar proyecto y cinco (5) la Sala para su estudio y decisión. </w:t>
      </w:r>
      <w:r w:rsidRPr="00FA7E5C">
        <w:rPr>
          <w:rFonts w:ascii="Times New Roman" w:hAnsi="Times New Roman" w:cs="Times New Roman"/>
          <w:sz w:val="24"/>
          <w:szCs w:val="24"/>
          <w:u w:val="single"/>
        </w:rPr>
        <w:t>Dentro de los diez (10) días siguientes el magistrado ponente citará a las partes e intervinientes para lectura de la parte decisoria del fallo y entrega de la providencia por escrito.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b/>
          <w:bCs/>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bCs/>
          <w:sz w:val="24"/>
          <w:szCs w:val="24"/>
        </w:rPr>
        <w:t>ARTÍCULO 34.</w:t>
      </w:r>
      <w:r w:rsidRPr="00FA7E5C">
        <w:rPr>
          <w:rFonts w:ascii="Times New Roman" w:hAnsi="Times New Roman" w:cs="Times New Roman"/>
          <w:sz w:val="24"/>
          <w:szCs w:val="24"/>
        </w:rPr>
        <w:t xml:space="preserve"> Modifíquese el Artículo 183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183. Oportunidad.</w:t>
      </w:r>
      <w:r w:rsidRPr="00FA7E5C">
        <w:rPr>
          <w:rFonts w:ascii="Times New Roman" w:hAnsi="Times New Roman" w:cs="Times New Roman"/>
          <w:b/>
          <w:bCs/>
          <w:sz w:val="24"/>
          <w:szCs w:val="24"/>
        </w:rPr>
        <w:t xml:space="preserve"> </w:t>
      </w:r>
      <w:r w:rsidRPr="00FA7E5C">
        <w:rPr>
          <w:rFonts w:ascii="Times New Roman" w:hAnsi="Times New Roman" w:cs="Times New Roman"/>
          <w:sz w:val="24"/>
          <w:szCs w:val="24"/>
        </w:rPr>
        <w:t xml:space="preserve">El recurso se interpondrá ante el tribunal dentro de los cinco (5) días </w:t>
      </w:r>
      <w:r w:rsidRPr="00FA7E5C">
        <w:rPr>
          <w:rFonts w:ascii="Times New Roman" w:hAnsi="Times New Roman" w:cs="Times New Roman"/>
          <w:sz w:val="24"/>
          <w:szCs w:val="24"/>
          <w:u w:val="single"/>
        </w:rPr>
        <w:t>hábiles</w:t>
      </w:r>
      <w:r w:rsidRPr="00FA7E5C">
        <w:rPr>
          <w:rFonts w:ascii="Times New Roman" w:hAnsi="Times New Roman" w:cs="Times New Roman"/>
          <w:sz w:val="24"/>
          <w:szCs w:val="24"/>
        </w:rPr>
        <w:t xml:space="preserve"> siguientes a la última notificación</w:t>
      </w:r>
      <w:r w:rsidRPr="00FA7E5C">
        <w:rPr>
          <w:rFonts w:ascii="Times New Roman" w:hAnsi="Times New Roman" w:cs="Times New Roman"/>
          <w:b/>
          <w:bCs/>
          <w:sz w:val="24"/>
          <w:szCs w:val="24"/>
        </w:rPr>
        <w:t xml:space="preserve"> </w:t>
      </w:r>
      <w:r w:rsidRPr="00FA7E5C">
        <w:rPr>
          <w:rFonts w:ascii="Times New Roman" w:hAnsi="Times New Roman" w:cs="Times New Roman"/>
          <w:sz w:val="24"/>
          <w:szCs w:val="24"/>
          <w:u w:val="single"/>
        </w:rPr>
        <w:t xml:space="preserve">de la sentencia, y en un término de sesenta (60) días hábiles, contados a partir del vencimiento del término para la </w:t>
      </w:r>
      <w:r w:rsidRPr="00FA7E5C">
        <w:rPr>
          <w:rFonts w:ascii="Times New Roman" w:hAnsi="Times New Roman" w:cs="Times New Roman"/>
          <w:sz w:val="24"/>
          <w:szCs w:val="24"/>
          <w:u w:val="single"/>
        </w:rPr>
        <w:lastRenderedPageBreak/>
        <w:t xml:space="preserve">interposición, se presentará la demanda </w:t>
      </w:r>
      <w:r w:rsidRPr="00FA7E5C">
        <w:rPr>
          <w:rFonts w:ascii="Times New Roman" w:hAnsi="Times New Roman" w:cs="Times New Roman"/>
          <w:sz w:val="24"/>
          <w:szCs w:val="24"/>
        </w:rPr>
        <w:t xml:space="preserve">que de manera precisa y concisa señale las causales invocadas y sus fundamentos.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Si no se presenta la demanda dentro del término señalado se declara desierto el recuso mediante auto que admite recurso de reposición.”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35.</w:t>
      </w:r>
      <w:r w:rsidRPr="00FA7E5C">
        <w:rPr>
          <w:rFonts w:ascii="Times New Roman" w:hAnsi="Times New Roman" w:cs="Times New Roman"/>
          <w:sz w:val="24"/>
          <w:szCs w:val="24"/>
        </w:rPr>
        <w:t xml:space="preserve"> Modifíquese el Artículo 202 de la Ley 906 de 2004, el cual quedara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202. Órganos que ejercen funciones permanentes de policía judicial de manera especial dentro de su competencia. Ejercen permanentemente funciones especializadas de policía judicial dentro del proceso penal y en el ámbito de su competencia, los siguientes organismos: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La Procuraduría General de la Nación.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La Contraloría General de la República.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w:t>
      </w:r>
      <w:r w:rsidRPr="00FA7E5C">
        <w:rPr>
          <w:rFonts w:ascii="Times New Roman" w:hAnsi="Times New Roman" w:cs="Times New Roman"/>
          <w:sz w:val="24"/>
          <w:szCs w:val="24"/>
          <w:u w:val="single"/>
        </w:rPr>
        <w:t xml:space="preserve"> La Unidad Administrativa Especial Migración Colombia.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Las autoridades de tránsito.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Las entidades públicas que ejerzan funciones de vigilancia y control.</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6. Los directores nacional y regional del </w:t>
      </w:r>
      <w:proofErr w:type="spellStart"/>
      <w:r w:rsidRPr="00FA7E5C">
        <w:rPr>
          <w:rFonts w:ascii="Times New Roman" w:hAnsi="Times New Roman" w:cs="Times New Roman"/>
          <w:sz w:val="24"/>
          <w:szCs w:val="24"/>
        </w:rPr>
        <w:t>INPEC</w:t>
      </w:r>
      <w:proofErr w:type="spellEnd"/>
      <w:r w:rsidRPr="00FA7E5C">
        <w:rPr>
          <w:rFonts w:ascii="Times New Roman" w:hAnsi="Times New Roman" w:cs="Times New Roman"/>
          <w:sz w:val="24"/>
          <w:szCs w:val="24"/>
        </w:rPr>
        <w:t>, los directores de los establecimientos de reclusión y el personal de custodia y vigilancia, conforme con lo señalado en el Código Penitenciario y Carcelario.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Los alcaldes.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8. Los inspectores de policía.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9. </w:t>
      </w:r>
      <w:r w:rsidRPr="00FA7E5C">
        <w:rPr>
          <w:rFonts w:ascii="Times New Roman" w:hAnsi="Times New Roman" w:cs="Times New Roman"/>
          <w:sz w:val="24"/>
          <w:szCs w:val="24"/>
          <w:u w:val="single"/>
        </w:rPr>
        <w:t>Los asistentes de fiscal de la Fiscalía General de la Nación.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Parágrafo. Los directores de estas entidades, en coordinación con el Fiscal General de la Nación, determinarán los servidores públicos de su dependencia que integrarán las unidades correspondientes.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36.</w:t>
      </w:r>
      <w:r w:rsidRPr="00FA7E5C">
        <w:rPr>
          <w:rFonts w:ascii="Times New Roman" w:hAnsi="Times New Roman" w:cs="Times New Roman"/>
          <w:sz w:val="24"/>
          <w:szCs w:val="24"/>
        </w:rPr>
        <w:t xml:space="preserve"> Modifíquese el Artículo 208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208. Actividad de policía. Cuando en ejercicio de la actividad de policía los servidores de la Policía Nacional descubrieren elementos materiales probatorios y evidencia física como los mencionados en este Código, en desarrollo de registro personal </w:t>
      </w:r>
      <w:r w:rsidRPr="00FA7E5C">
        <w:rPr>
          <w:rFonts w:ascii="Times New Roman" w:hAnsi="Times New Roman" w:cs="Times New Roman"/>
          <w:sz w:val="24"/>
          <w:szCs w:val="24"/>
          <w:u w:val="single"/>
        </w:rPr>
        <w:t>externo, superficial y no invasivo</w:t>
      </w:r>
      <w:r w:rsidRPr="00FA7E5C">
        <w:rPr>
          <w:rFonts w:ascii="Times New Roman" w:hAnsi="Times New Roman" w:cs="Times New Roman"/>
          <w:sz w:val="24"/>
          <w:szCs w:val="24"/>
        </w:rPr>
        <w:t xml:space="preserve">, el registro de vehículos, los identificarán, recogerán y embalarán técnicamente. Sin demora alguna </w:t>
      </w:r>
      <w:proofErr w:type="gramStart"/>
      <w:r w:rsidRPr="00FA7E5C">
        <w:rPr>
          <w:rFonts w:ascii="Times New Roman" w:hAnsi="Times New Roman" w:cs="Times New Roman"/>
          <w:sz w:val="24"/>
          <w:szCs w:val="24"/>
        </w:rPr>
        <w:t>comunicarán</w:t>
      </w:r>
      <w:proofErr w:type="gramEnd"/>
      <w:r w:rsidRPr="00FA7E5C">
        <w:rPr>
          <w:rFonts w:ascii="Times New Roman" w:hAnsi="Times New Roman" w:cs="Times New Roman"/>
          <w:sz w:val="24"/>
          <w:szCs w:val="24"/>
        </w:rPr>
        <w:t xml:space="preserve"> el hallazgo a la Policía Judicial, telefónicamente o por cualquier otro medio eficaz, la cual se trasladará al lugar sin dilación y recogerá los elementos y el informe. Cuando esto no fuere posible, quien los hubiere embalado los hará llegar, con las seguridades del caso, a la Policía Judicial”.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37.</w:t>
      </w:r>
      <w:r w:rsidRPr="00FA7E5C">
        <w:rPr>
          <w:rFonts w:ascii="Times New Roman" w:hAnsi="Times New Roman" w:cs="Times New Roman"/>
          <w:sz w:val="24"/>
          <w:szCs w:val="24"/>
        </w:rPr>
        <w:t xml:space="preserve"> Modifíquese el Artículo 221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221. Respaldo probatorio para los motivos fundados. Los motivos fundados de que trata el artículo anterior deberán ser respaldados, al menos, en informe de policía judicial, declaración jurada de testigo o informante, o en elementos materiales probatorios y evidencia física que establezcan con verosimilitud la vinculación del bien por registrar con el delito investigado.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 De todas maneras, los datos del informante serán reservados, inclusive para los efectos de la audiencia ante el Juez de Control de Garantías,</w:t>
      </w:r>
      <w:r w:rsidRPr="00FA7E5C">
        <w:rPr>
          <w:rFonts w:ascii="Times New Roman" w:hAnsi="Times New Roman" w:cs="Times New Roman"/>
          <w:sz w:val="24"/>
          <w:szCs w:val="24"/>
          <w:u w:val="single"/>
        </w:rPr>
        <w:t xml:space="preserve"> sin que la reserva de datos sea vinculante para el juez.</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38.</w:t>
      </w:r>
      <w:r w:rsidRPr="00FA7E5C">
        <w:rPr>
          <w:rFonts w:ascii="Times New Roman" w:hAnsi="Times New Roman" w:cs="Times New Roman"/>
          <w:sz w:val="24"/>
          <w:szCs w:val="24"/>
        </w:rPr>
        <w:t xml:space="preserve"> Modifíquese el Artículo 236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236. Recuperación de Información producto de la transmisión de datos a través de las redes de comunicaciones. Cuando el fiscal tenga motivos razonablemente fundados, de acuerdo con los medios cognoscitivos previstos en este Código, para inferir que el indiciado o el imputado </w:t>
      </w:r>
      <w:r w:rsidRPr="00FA7E5C">
        <w:rPr>
          <w:rFonts w:ascii="Times New Roman" w:hAnsi="Times New Roman" w:cs="Times New Roman"/>
          <w:sz w:val="24"/>
          <w:szCs w:val="24"/>
          <w:u w:val="single"/>
        </w:rPr>
        <w:t>ha estado recolectando, almacenando, usando, circulando o suprimiendo información útil para la investigación que se adelanta</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durante su navegación por internet u otros medios tecnológicos que produzcan efectos equivalentes</w:t>
      </w:r>
      <w:r w:rsidRPr="00FA7E5C">
        <w:rPr>
          <w:rFonts w:ascii="Times New Roman" w:hAnsi="Times New Roman" w:cs="Times New Roman"/>
          <w:sz w:val="24"/>
          <w:szCs w:val="24"/>
        </w:rPr>
        <w:t>, podrá ordenar la aprehensión de equipos, dispositivos de tecnologías de la información y las comunicaciones o servidores que pueda haber utilizado y demás medios de almacenamiento físico o virtual, para que expertos en informática forense descubran, recojan, analicen y custodien la información que recuperen; lo anterior con el fin de obtener elementos materiales probatorios y evidencia física o realizar la captura del indiciado, imputado o condenado.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En estos casos serán aplicables analógicamente, según la naturaleza de este acto, los criterios establecidos para los registros y allanamientos.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aprehensión de que trata este artículo se limitará exclusivamente al tiempo necesario para la captura de la información en él contenida. Inmediatamente se devolverán los equipos incautados. </w:t>
      </w:r>
      <w:r w:rsidRPr="00FA7E5C">
        <w:rPr>
          <w:rFonts w:ascii="Times New Roman" w:hAnsi="Times New Roman" w:cs="Times New Roman"/>
          <w:sz w:val="24"/>
          <w:szCs w:val="24"/>
          <w:u w:val="single"/>
        </w:rPr>
        <w:t>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w:t>
      </w:r>
      <w:r w:rsidRPr="00FA7E5C">
        <w:rPr>
          <w:rFonts w:ascii="Times New Roman" w:hAnsi="Times New Roman" w:cs="Times New Roman"/>
          <w:sz w:val="24"/>
          <w:szCs w:val="24"/>
        </w:rPr>
        <w:t>."</w:t>
      </w:r>
    </w:p>
    <w:p w:rsidR="00A33157" w:rsidRPr="00FA7E5C" w:rsidRDefault="00A33157" w:rsidP="00600D79">
      <w:pPr>
        <w:pStyle w:val="Sinespaciado"/>
        <w:jc w:val="both"/>
        <w:rPr>
          <w:rFonts w:ascii="Times New Roman" w:hAnsi="Times New Roman" w:cs="Times New Roman"/>
          <w:sz w:val="24"/>
          <w:szCs w:val="24"/>
        </w:rPr>
      </w:pPr>
    </w:p>
    <w:p w:rsidR="00A33157" w:rsidRPr="00FA7E5C" w:rsidRDefault="00A33157" w:rsidP="00A33157">
      <w:pPr>
        <w:pStyle w:val="NormalWeb"/>
        <w:spacing w:line="270" w:lineRule="atLeast"/>
        <w:jc w:val="both"/>
      </w:pPr>
      <w:r w:rsidRPr="00FA7E5C">
        <w:rPr>
          <w:rStyle w:val="baj"/>
          <w:b/>
          <w:bCs/>
        </w:rPr>
        <w:t>PARÁGRAFO.</w:t>
      </w:r>
      <w:r w:rsidRPr="00FA7E5C">
        <w:t>  Cuando se trate de investigaciones contra miembros de Grupos Delictivos Organizados y Grupos Armados Organizados, la Policía Judicial dispondrá de un término de seis (6) meses en etapa de indagación y tres (3) meses en etapa de investigación, para que expertos en informática forense identifiquen, sustraigan, recojan, analicen y custodien la información que recuperen.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39.</w:t>
      </w:r>
      <w:r w:rsidRPr="00FA7E5C">
        <w:rPr>
          <w:rFonts w:ascii="Times New Roman" w:hAnsi="Times New Roman" w:cs="Times New Roman"/>
          <w:sz w:val="24"/>
          <w:szCs w:val="24"/>
        </w:rPr>
        <w:t xml:space="preserve"> Modifíquese el Artículo 237 de la Ley 906 de 2004, el cual quedará así:</w:t>
      </w:r>
    </w:p>
    <w:p w:rsidR="00600D79" w:rsidRPr="00FA7E5C" w:rsidRDefault="00600D79" w:rsidP="00600D79">
      <w:pPr>
        <w:pStyle w:val="Sinespaciado"/>
        <w:jc w:val="both"/>
        <w:rPr>
          <w:rFonts w:ascii="Times New Roman" w:hAnsi="Times New Roman" w:cs="Times New Roman"/>
          <w:bCs/>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Cs/>
          <w:sz w:val="24"/>
          <w:szCs w:val="24"/>
        </w:rPr>
        <w:lastRenderedPageBreak/>
        <w:t>“Artículo 237. Audiencia de control de legalidad posterior.</w:t>
      </w:r>
      <w:bookmarkStart w:id="1" w:name="237"/>
      <w:bookmarkEnd w:id="1"/>
      <w:r w:rsidRPr="00FA7E5C">
        <w:rPr>
          <w:rStyle w:val="apple-converted-space"/>
          <w:rFonts w:ascii="Times New Roman" w:hAnsi="Times New Roman" w:cs="Times New Roman"/>
          <w:sz w:val="24"/>
          <w:szCs w:val="24"/>
        </w:rPr>
        <w:t> </w:t>
      </w:r>
      <w:r w:rsidRPr="00FA7E5C">
        <w:rPr>
          <w:rFonts w:ascii="Times New Roman" w:hAnsi="Times New Roman" w:cs="Times New Roman"/>
          <w:sz w:val="24"/>
          <w:szCs w:val="24"/>
        </w:rPr>
        <w:t xml:space="preserve"> Dentro de las</w:t>
      </w:r>
      <w:r w:rsidRPr="00FA7E5C">
        <w:rPr>
          <w:rFonts w:ascii="Times New Roman" w:hAnsi="Times New Roman" w:cs="Times New Roman"/>
          <w:sz w:val="24"/>
          <w:szCs w:val="24"/>
          <w:u w:val="single"/>
        </w:rPr>
        <w:t xml:space="preserve"> treinta y seis (36) horas</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siguientes a la práctica de la diligencia</w:t>
      </w:r>
      <w:r w:rsidRPr="00FA7E5C">
        <w:rPr>
          <w:rFonts w:ascii="Times New Roman" w:hAnsi="Times New Roman" w:cs="Times New Roman"/>
          <w:sz w:val="24"/>
          <w:szCs w:val="24"/>
        </w:rPr>
        <w:t xml:space="preserve"> de registro y allanamiento, retención de correspondencia, interceptación de comunicaciones o recuperación de información producto de la transmisión de datos a través de las redes de comunicaciones, el fiscal comparecerá ante el Juez de Control de Garantías</w:t>
      </w:r>
      <w:r w:rsidRPr="00FA7E5C">
        <w:rPr>
          <w:rFonts w:ascii="Times New Roman" w:hAnsi="Times New Roman" w:cs="Times New Roman"/>
          <w:sz w:val="24"/>
          <w:szCs w:val="24"/>
          <w:u w:val="single"/>
        </w:rPr>
        <w:t xml:space="preserve"> para que en una única audiencia revise la legalidad de los resultados obtenidos.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El término al que hace referencia el inciso anterior, será interrumpido con la instalación de la audiencia por parte del juez de Control de Garantías</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Durante el trámite de la audiencia podrán asistir, además del fiscal, los funcionarios de la Policía Judicial y los testigos o peritos que prestaron declaraciones juradas con el fin de obtener la orden respectiva, o que intervinieron en la diligencia.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podrá, si lo estima conveniente, interrogar directamente a los comparecientes y, después de escuchar los argumentos del fiscal, decidirá de plano sobre la validez del procedimiento.</w:t>
      </w:r>
    </w:p>
    <w:p w:rsidR="00600D79" w:rsidRPr="00FA7E5C" w:rsidRDefault="00600D79" w:rsidP="00600D79">
      <w:pPr>
        <w:pStyle w:val="Sinespaciado"/>
        <w:jc w:val="both"/>
        <w:rPr>
          <w:rStyle w:val="baj"/>
          <w:rFonts w:ascii="Times New Roman" w:hAnsi="Times New Roman" w:cs="Times New Roman"/>
          <w:b/>
          <w:bCs/>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Style w:val="baj"/>
          <w:rFonts w:ascii="Times New Roman" w:hAnsi="Times New Roman" w:cs="Times New Roman"/>
          <w:b/>
          <w:bCs/>
          <w:sz w:val="24"/>
          <w:szCs w:val="24"/>
        </w:rPr>
        <w:t>Parágrafo.</w:t>
      </w:r>
      <w:r w:rsidRPr="00FA7E5C">
        <w:rPr>
          <w:rStyle w:val="apple-converted-space"/>
          <w:rFonts w:ascii="Times New Roman" w:hAnsi="Times New Roman" w:cs="Times New Roman"/>
          <w:sz w:val="24"/>
          <w:szCs w:val="24"/>
        </w:rPr>
        <w:t> </w:t>
      </w:r>
      <w:r w:rsidRPr="00FA7E5C">
        <w:rPr>
          <w:rFonts w:ascii="Times New Roman" w:hAnsi="Times New Roman" w:cs="Times New Roman"/>
          <w:sz w:val="24"/>
          <w:szCs w:val="24"/>
        </w:rPr>
        <w:t>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40.</w:t>
      </w:r>
      <w:r w:rsidRPr="00FA7E5C">
        <w:rPr>
          <w:rFonts w:ascii="Times New Roman" w:hAnsi="Times New Roman" w:cs="Times New Roman"/>
          <w:sz w:val="24"/>
          <w:szCs w:val="24"/>
        </w:rPr>
        <w:t xml:space="preserve"> Modifíquese el Artículo 241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241. Análisis e infiltración de organización criminal. Cuando el fiscal tuviere motivos razonablemente fundados, de acuerdo con los medios cognoscitivos previstos en este Código,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w:t>
      </w:r>
      <w:r w:rsidRPr="00FA7E5C">
        <w:rPr>
          <w:rFonts w:ascii="Times New Roman" w:hAnsi="Times New Roman" w:cs="Times New Roman"/>
          <w:sz w:val="24"/>
          <w:szCs w:val="24"/>
          <w:u w:val="single"/>
        </w:rPr>
        <w:t>sus formas de financiación, su influencia territorial, su relación con otros actores, sus patrones criminales y demás características que permitan obtener información relevante</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En el recaudo de información para el análisis, la policía judicial podrá acudir a fuentes abiertas tales como instituciones o agencias públicas o privadas que se dediquen al estudio y a la investigación de criminalidad organizada, entre otras</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 prácticas, conexidades u otras formas de asociación de fenómenos delictivos</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41.</w:t>
      </w:r>
      <w:r w:rsidRPr="00FA7E5C">
        <w:rPr>
          <w:rFonts w:ascii="Times New Roman" w:hAnsi="Times New Roman" w:cs="Times New Roman"/>
          <w:sz w:val="24"/>
          <w:szCs w:val="24"/>
        </w:rPr>
        <w:t xml:space="preserve"> Modifíquese el Artículo 242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 xml:space="preserve">"Artículo 242 Infiltración de organización criminal y actuación de agentes encubiertos. Cuando el fiscal tuviere motivos razonablemente fundados, de acuerdo con los medios cognoscitivos previstos en este Código, para inferir que el indiciado o el imputado, en la investigación que se adelanta, pertenece o está relacionado con alguna organización criminal, </w:t>
      </w:r>
      <w:r w:rsidRPr="00FA7E5C">
        <w:rPr>
          <w:rFonts w:ascii="Times New Roman" w:hAnsi="Times New Roman" w:cs="Times New Roman"/>
          <w:sz w:val="24"/>
          <w:szCs w:val="24"/>
          <w:u w:val="single"/>
        </w:rPr>
        <w:t>o continúa desarrollando una actividad criminal</w:t>
      </w:r>
      <w:r w:rsidRPr="00FA7E5C">
        <w:rPr>
          <w:rFonts w:ascii="Times New Roman" w:hAnsi="Times New Roman" w:cs="Times New Roman"/>
          <w:sz w:val="24"/>
          <w:szCs w:val="24"/>
        </w:rPr>
        <w:t xml:space="preserve">, previa autorización del </w:t>
      </w:r>
      <w:r w:rsidRPr="00FA7E5C">
        <w:rPr>
          <w:rFonts w:ascii="Times New Roman" w:hAnsi="Times New Roman" w:cs="Times New Roman"/>
          <w:sz w:val="24"/>
          <w:szCs w:val="24"/>
          <w:u w:val="single"/>
        </w:rPr>
        <w:t>Director Nacional, o Seccional correspondiente, el Delegado contra la Criminalidad Organizada, el Delegado para las Finanzas Criminales, o el Delegado para la Seguridad Ciudadana de la Fiscalía General de la Nación, o quien haga sus veces</w:t>
      </w:r>
      <w:r w:rsidRPr="00FA7E5C">
        <w:rPr>
          <w:rFonts w:ascii="Times New Roman" w:hAnsi="Times New Roman" w:cs="Times New Roman"/>
          <w:sz w:val="24"/>
          <w:szCs w:val="24"/>
        </w:rPr>
        <w:t>, podrá ordenar la utilización de agentes encubiertos, siempre que resulte útil para el éxito de las tareas investigativas.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Durante la realización de los procedimientos encubiertos podrán utilizarse los medios técnicos de ayuda </w:t>
      </w:r>
      <w:r w:rsidRPr="00FA7E5C">
        <w:rPr>
          <w:rFonts w:ascii="Times New Roman" w:hAnsi="Times New Roman" w:cs="Times New Roman"/>
          <w:sz w:val="24"/>
          <w:szCs w:val="24"/>
          <w:u w:val="single"/>
        </w:rPr>
        <w:t>previstos en este Código</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rsidR="00DD56FC" w:rsidRPr="00FA7E5C" w:rsidRDefault="00DD56FC" w:rsidP="00A33157">
      <w:pPr>
        <w:jc w:val="both"/>
        <w:rPr>
          <w:rFonts w:ascii="Times New Roman" w:hAnsi="Times New Roman" w:cs="Times New Roman"/>
          <w:sz w:val="24"/>
          <w:szCs w:val="24"/>
        </w:rPr>
      </w:pPr>
    </w:p>
    <w:p w:rsidR="00A33157" w:rsidRPr="00FA7E5C" w:rsidRDefault="00A33157" w:rsidP="00A33157">
      <w:pPr>
        <w:jc w:val="both"/>
        <w:rPr>
          <w:rFonts w:ascii="Times New Roman" w:hAnsi="Times New Roman" w:cs="Times New Roman"/>
          <w:sz w:val="24"/>
          <w:szCs w:val="24"/>
        </w:rPr>
      </w:pPr>
      <w:r w:rsidRPr="00FA7E5C">
        <w:rPr>
          <w:rFonts w:ascii="Times New Roman" w:hAnsi="Times New Roman" w:cs="Times New Roman"/>
          <w:sz w:val="24"/>
          <w:szCs w:val="24"/>
        </w:rPr>
        <w:t>Para efectos de lo dispuesto en el presente artículo también podrá disponerse que los miembros de Grupos Delictivos Organizados y Grupos Armados Organizados puedan actuar como agentes encubiertos.</w:t>
      </w:r>
    </w:p>
    <w:p w:rsidR="00A33157" w:rsidRPr="00FA7E5C" w:rsidRDefault="00A33157"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lastRenderedPageBreak/>
        <w:t>Parágrafo 1.</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 xml:space="preserve">Se protegerá en todo momento la verdadera identidad del agente encubierto.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En los eventos en que se requiera crear una identidad distinta para la realización de la agencia encubierta, la Registraduría Nacional del Estado Civil adoptará todas las medidas necesarias para la consecución de este fin. Por su parte, las entidades financieras y todas las demás instituciones públicas y privadas, colaborarán a la Fiscalía General de la Nación en las actividades requeridas para el desarrollo de la agencia encubierta, con la debida reserva de la información</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3.</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El testimonio de los agentes encubiertos en la etapa de juicio oral podrá realizarse a través de un agente de contacto. La identidad del agente encubierto podrá ser revelada únicamente al juez de conocimiento en audiencia reservada, si este lo solicitare</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Parágrafo 4.</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Los gastos en los que incurra el funcionario público en calidad de agente encubierto y en desarrollo de las actividades extrapenales con relevancia jurídica correrán a cargo de un fondo que se cree para el efecto por parte de la Fiscalía General de la Nación y las asignaciones del Ministerio de Hacienda.</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5</w:t>
      </w:r>
      <w:r w:rsidRPr="00FA7E5C">
        <w:rPr>
          <w:rFonts w:ascii="Times New Roman" w:hAnsi="Times New Roman" w:cs="Times New Roman"/>
          <w:sz w:val="24"/>
          <w:szCs w:val="24"/>
          <w:u w:val="single"/>
        </w:rPr>
        <w:t>. La utilización de la figura de agente encubierto, deberá hacerse con sujeción a la reglamentación que en tal sentido expida el Fiscal General de la Nación.</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42.</w:t>
      </w:r>
      <w:r w:rsidRPr="00FA7E5C">
        <w:rPr>
          <w:rFonts w:ascii="Times New Roman" w:hAnsi="Times New Roman" w:cs="Times New Roman"/>
          <w:sz w:val="24"/>
          <w:szCs w:val="24"/>
        </w:rPr>
        <w:t xml:space="preserve"> Modifíquese el Artículo 244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244. Búsqueda selectiva y análisis de bases de datos. La policía judicial, en desarrollo de su actividad investigativa podrá obtener y analizar datos registrados en bases mecánicas, magnéticas u otras similares, </w:t>
      </w:r>
      <w:r w:rsidRPr="00FA7E5C">
        <w:rPr>
          <w:rFonts w:ascii="Times New Roman" w:hAnsi="Times New Roman" w:cs="Times New Roman"/>
          <w:sz w:val="24"/>
          <w:szCs w:val="24"/>
          <w:u w:val="single"/>
        </w:rPr>
        <w:t>siempre y cuando se trate de información pública</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Cuando se requiera adelantar búsqueda selectiva en las bases de datos que implique el acceso a información</w:t>
      </w:r>
      <w:r w:rsidRPr="00FA7E5C">
        <w:rPr>
          <w:rFonts w:ascii="Times New Roman" w:hAnsi="Times New Roman" w:cs="Times New Roman"/>
          <w:sz w:val="24"/>
          <w:szCs w:val="24"/>
          <w:u w:val="single"/>
        </w:rPr>
        <w:t xml:space="preserve"> semiprivada del indiciado o imputado </w:t>
      </w:r>
      <w:r w:rsidRPr="00FA7E5C">
        <w:rPr>
          <w:rFonts w:ascii="Times New Roman" w:hAnsi="Times New Roman" w:cs="Times New Roman"/>
          <w:sz w:val="24"/>
          <w:szCs w:val="24"/>
        </w:rPr>
        <w:t xml:space="preserve">deberá mediar autorización previa del fiscal que dirija la investigación. </w:t>
      </w:r>
      <w:r w:rsidRPr="00FA7E5C">
        <w:rPr>
          <w:rFonts w:ascii="Times New Roman" w:hAnsi="Times New Roman" w:cs="Times New Roman"/>
          <w:sz w:val="24"/>
          <w:szCs w:val="24"/>
          <w:u w:val="single"/>
        </w:rPr>
        <w:t xml:space="preserve">Si se trata de información reservada, privada y/o datos sensibles, referida al indiciado o imputado deberá mediar autorización previa de juez de control de garantías.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En estos casos, la revisión de la legalidad se realizará en una única audiencia ante el juez de control de garantías, dentro de las treinta y seis (36) horas siguientes a la entrega del informe de policía judicial sobre el resultado de los actos investigativos contenidos en la orden.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En lo no regulado por este artículo se aplicarán, en lo pertinente, las disposiciones relativas sobre registros y allanamientos.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u w:val="single"/>
        </w:rPr>
        <w:t>Parágrafo 1</w:t>
      </w:r>
      <w:r w:rsidRPr="00FA7E5C">
        <w:rPr>
          <w:rFonts w:ascii="Times New Roman" w:hAnsi="Times New Roman" w:cs="Times New Roman"/>
          <w:sz w:val="24"/>
          <w:szCs w:val="24"/>
          <w:u w:val="single"/>
        </w:rPr>
        <w:t>. La policía judicial podrá llevar a cabo la obtención de información mediante el análisis cruzado de bases de datos, en desarrollo de su actividad investigativa, una vez se haya surtido el proceso de búsqueda referido y como una actividad complementaria al mismo, que no requiere un control posterior de legalidad por parte de Juez de Control de Garantías</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lastRenderedPageBreak/>
        <w:t>Parágrafo 2</w:t>
      </w:r>
      <w:r w:rsidRPr="00FA7E5C">
        <w:rPr>
          <w:rFonts w:ascii="Times New Roman" w:hAnsi="Times New Roman" w:cs="Times New Roman"/>
          <w:sz w:val="24"/>
          <w:szCs w:val="24"/>
          <w:u w:val="single"/>
        </w:rPr>
        <w:t>. Para efectos de este artículo se entenderá por datos sensibles aquellos establecidos en el Artículo 5 de la Ley 1581 de 2012.</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3</w:t>
      </w:r>
      <w:r w:rsidRPr="00FA7E5C">
        <w:rPr>
          <w:rFonts w:ascii="Times New Roman" w:hAnsi="Times New Roman" w:cs="Times New Roman"/>
          <w:sz w:val="24"/>
          <w:szCs w:val="24"/>
          <w:u w:val="single"/>
        </w:rPr>
        <w:t xml:space="preserve">. Es información semiprivada toda aquella que no tiene la naturaleza de dato sensible, información reservada, privada, o pública, cuyo conocimiento puede interesar no sólo a su titular sino a cierto grupo de personas o a la sociedad en general, como la información relativa a la actividad financiera y crediticia de las personas entre otras.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4</w:t>
      </w:r>
      <w:r w:rsidRPr="00FA7E5C">
        <w:rPr>
          <w:rFonts w:ascii="Times New Roman" w:hAnsi="Times New Roman" w:cs="Times New Roman"/>
          <w:sz w:val="24"/>
          <w:szCs w:val="24"/>
          <w:u w:val="single"/>
        </w:rPr>
        <w:t xml:space="preserve">. Es información privada debe entenderse todos aquellos datos que hacen parte del ámbito privado de la persona cuya publicación indiscriminada afecta derechos fundamentales como la intimidad, la vida o la seguridad. A esta categoría pertenecen, entre otros, la hoja de vida de las personas, los secretos industriales, comerciales y/ profesionales, y los expedientes </w:t>
      </w:r>
      <w:proofErr w:type="spellStart"/>
      <w:r w:rsidRPr="00FA7E5C">
        <w:rPr>
          <w:rFonts w:ascii="Times New Roman" w:hAnsi="Times New Roman" w:cs="Times New Roman"/>
          <w:sz w:val="24"/>
          <w:szCs w:val="24"/>
          <w:u w:val="single"/>
        </w:rPr>
        <w:t>pensionales</w:t>
      </w:r>
      <w:proofErr w:type="spellEnd"/>
      <w:r w:rsidRPr="00FA7E5C">
        <w:rPr>
          <w:rFonts w:ascii="Times New Roman" w:hAnsi="Times New Roman" w:cs="Times New Roman"/>
          <w:sz w:val="24"/>
          <w:szCs w:val="24"/>
          <w:u w:val="single"/>
        </w:rPr>
        <w:t>.</w:t>
      </w:r>
    </w:p>
    <w:p w:rsidR="00600D79" w:rsidRPr="00FA7E5C" w:rsidRDefault="00600D79" w:rsidP="00600D79">
      <w:pPr>
        <w:pStyle w:val="Sinespaciado"/>
        <w:jc w:val="both"/>
        <w:rPr>
          <w:rFonts w:ascii="Times New Roman" w:hAnsi="Times New Roman" w:cs="Times New Roman"/>
          <w:b/>
          <w:sz w:val="24"/>
          <w:szCs w:val="24"/>
          <w:u w:val="single"/>
        </w:rPr>
      </w:pPr>
      <w:r w:rsidRPr="00FA7E5C">
        <w:rPr>
          <w:rFonts w:ascii="Times New Roman" w:hAnsi="Times New Roman" w:cs="Times New Roman"/>
          <w:b/>
          <w:sz w:val="24"/>
          <w:szCs w:val="24"/>
          <w:u w:val="single"/>
        </w:rPr>
        <w:t xml:space="preserve">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5</w:t>
      </w:r>
      <w:r w:rsidRPr="00FA7E5C">
        <w:rPr>
          <w:rFonts w:ascii="Times New Roman" w:hAnsi="Times New Roman" w:cs="Times New Roman"/>
          <w:sz w:val="24"/>
          <w:szCs w:val="24"/>
          <w:u w:val="single"/>
        </w:rPr>
        <w:t xml:space="preserve">. Es información reservada debe entenderse todos aquellos datos que el legislador de manera explícita ha señalado están sujetos a reserva, en tanto, pretenden garantizar los intereses constitucionales señalados en el artículo 19 de la Ley 1712 de 2014.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6</w:t>
      </w:r>
      <w:r w:rsidRPr="00FA7E5C">
        <w:rPr>
          <w:rFonts w:ascii="Times New Roman" w:hAnsi="Times New Roman" w:cs="Times New Roman"/>
          <w:sz w:val="24"/>
          <w:szCs w:val="24"/>
          <w:u w:val="single"/>
        </w:rPr>
        <w:t xml:space="preserve">. Es información pública toda aquella que no corresponda a información privada, semiprivada, reservada y/o datos sensibles, de conformidad con lo señalado en los parágrafos anteriores. </w:t>
      </w:r>
    </w:p>
    <w:p w:rsidR="00A33157" w:rsidRPr="00FA7E5C" w:rsidRDefault="00A33157" w:rsidP="00600D79">
      <w:pPr>
        <w:pStyle w:val="Sinespaciado"/>
        <w:jc w:val="both"/>
        <w:rPr>
          <w:rFonts w:ascii="Times New Roman" w:hAnsi="Times New Roman" w:cs="Times New Roman"/>
          <w:sz w:val="24"/>
          <w:szCs w:val="24"/>
          <w:u w:val="single"/>
        </w:rPr>
      </w:pPr>
    </w:p>
    <w:p w:rsidR="00A33157" w:rsidRPr="00FA7E5C" w:rsidRDefault="00A33157" w:rsidP="00A33157">
      <w:pPr>
        <w:jc w:val="both"/>
        <w:rPr>
          <w:rFonts w:ascii="Times New Roman" w:hAnsi="Times New Roman" w:cs="Times New Roman"/>
          <w:sz w:val="24"/>
          <w:szCs w:val="24"/>
        </w:rPr>
      </w:pPr>
      <w:r w:rsidRPr="00FA7E5C">
        <w:rPr>
          <w:rFonts w:ascii="Times New Roman" w:hAnsi="Times New Roman" w:cs="Times New Roman"/>
          <w:sz w:val="24"/>
          <w:szCs w:val="24"/>
        </w:rPr>
        <w:t>PARÁGRAFO  7. Los términos para la búsqueda selectiva en base de datos en las investigaciones que se adelanten contra miembros de Grupos Delictivos Organizados y Grupos Armados Organizados en etapa de indagación serán de seis (6) meses y en investigación de tres (3) meses, prorrogables hasta por un término igual.</w:t>
      </w:r>
    </w:p>
    <w:p w:rsidR="00A33157" w:rsidRPr="00FA7E5C" w:rsidRDefault="00A33157" w:rsidP="00DD56FC">
      <w:pPr>
        <w:jc w:val="both"/>
        <w:rPr>
          <w:rFonts w:ascii="Times New Roman" w:hAnsi="Times New Roman" w:cs="Times New Roman"/>
          <w:b/>
          <w:sz w:val="24"/>
          <w:szCs w:val="24"/>
          <w:u w:val="single"/>
        </w:rPr>
      </w:pPr>
      <w:r w:rsidRPr="00FA7E5C">
        <w:rPr>
          <w:rFonts w:ascii="Times New Roman" w:hAnsi="Times New Roman" w:cs="Times New Roman"/>
          <w:sz w:val="24"/>
          <w:szCs w:val="24"/>
        </w:rPr>
        <w:t>PARÁGRAFO  8. En las investigaciones que se sigan contra Organizaciones Criminales, el Juez de Control de Garantías podrá autorizar el levantamiento de la reserva y el acceso a la totalidad de bases de datos en las cuales pueda encontrarse el indiciado o imputado, cuando así se justifique por las circunstancias del caso y el tipo de conducta punible que se investiga. Esta autorización se concederá por un término igual al contemplado en el parágrafo primero, al término del cual, dentro de las treinta y seis horas siguientes al último acto de investigación se debe acudir nuevamente ante el juez de control de garantías, con el fin de solicitar sea impartida legalidad a la totalidad del procedimiento.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43.</w:t>
      </w:r>
      <w:r w:rsidRPr="00FA7E5C">
        <w:rPr>
          <w:rFonts w:ascii="Times New Roman" w:hAnsi="Times New Roman" w:cs="Times New Roman"/>
          <w:sz w:val="24"/>
          <w:szCs w:val="24"/>
        </w:rPr>
        <w:t xml:space="preserve"> Modifíquese el Artículo 245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245. Exámenes de ADN que involucren al indiciado o al imputado.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Si se requiere cotejo de los exámenes de ADN con la información genética del indiciado o imputado, mediante el acceso a bancos de esperma y de sangre, muestras de laboratorios clínicos, consultorios médicos u odontológicos, entre otros, </w:t>
      </w:r>
      <w:r w:rsidRPr="00FA7E5C">
        <w:rPr>
          <w:rFonts w:ascii="Times New Roman" w:hAnsi="Times New Roman" w:cs="Times New Roman"/>
          <w:sz w:val="24"/>
          <w:szCs w:val="24"/>
          <w:u w:val="single"/>
        </w:rPr>
        <w:t xml:space="preserve">deberá solicitarse autorización </w:t>
      </w:r>
      <w:r w:rsidRPr="00FA7E5C">
        <w:rPr>
          <w:rFonts w:ascii="Times New Roman" w:hAnsi="Times New Roman" w:cs="Times New Roman"/>
          <w:sz w:val="24"/>
          <w:szCs w:val="24"/>
          <w:u w:val="single"/>
        </w:rPr>
        <w:lastRenderedPageBreak/>
        <w:t>judicial previa ante el Juez de Control de Garantías, con el fin de establecer su legalidad formal y material</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Cuando el indiciado tenga noticia de que en las diligencias practicadas se está investigando su participación en la comisión de una conducta punible, el Juez de Control de Garantías autorizará su participación en caso de solicitarlo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44.</w:t>
      </w:r>
      <w:r w:rsidRPr="00FA7E5C">
        <w:rPr>
          <w:rFonts w:ascii="Times New Roman" w:hAnsi="Times New Roman" w:cs="Times New Roman"/>
          <w:sz w:val="24"/>
          <w:szCs w:val="24"/>
        </w:rPr>
        <w:t xml:space="preserve"> Modifíquese el Artículo 246 de la Ley 906 de 2004, el cual quedara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“Artículo 246. Regla general.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w:t>
      </w:r>
      <w:r w:rsidRPr="00FA7E5C">
        <w:rPr>
          <w:rFonts w:ascii="Times New Roman" w:hAnsi="Times New Roman" w:cs="Times New Roman"/>
          <w:sz w:val="24"/>
          <w:szCs w:val="24"/>
          <w:u w:val="single"/>
        </w:rPr>
        <w:t>la defensa o la víctima</w:t>
      </w:r>
      <w:r w:rsidRPr="00FA7E5C">
        <w:rPr>
          <w:rFonts w:ascii="Times New Roman" w:hAnsi="Times New Roman" w:cs="Times New Roman"/>
          <w:sz w:val="24"/>
          <w:szCs w:val="24"/>
        </w:rPr>
        <w:t>.</w:t>
      </w:r>
      <w:r w:rsidRPr="00FA7E5C">
        <w:rPr>
          <w:rFonts w:ascii="Times New Roman" w:hAnsi="Times New Roman" w:cs="Times New Roman"/>
          <w:sz w:val="24"/>
          <w:szCs w:val="24"/>
          <w:u w:val="single"/>
        </w:rPr>
        <w:t xml:space="preserv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 policía judicial podrá requerir autorización previa directamente al juez, cuando se presenten circunstancias excepcionales que ameriten extrema urgencia, en cuyo caso el fiscal deberá ser informado de ello inmediatamente.</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45.</w:t>
      </w:r>
      <w:r w:rsidRPr="00FA7E5C">
        <w:rPr>
          <w:rFonts w:ascii="Times New Roman" w:hAnsi="Times New Roman" w:cs="Times New Roman"/>
          <w:sz w:val="24"/>
          <w:szCs w:val="24"/>
        </w:rPr>
        <w:t xml:space="preserve"> Modifíquese el Artículo 268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“Artículo 268. Facultades del imputado. El imputado o su defensor, durante la investigación, podrán buscar, identificar empíricamente, recoger y embalar los elementos materiales probatorios y evidencia física. Con la solicitud para que sean examinados y la constancia de que es imputado o defensor de este, </w:t>
      </w:r>
      <w:r w:rsidRPr="00FA7E5C">
        <w:rPr>
          <w:rFonts w:ascii="Times New Roman" w:hAnsi="Times New Roman" w:cs="Times New Roman"/>
          <w:sz w:val="24"/>
          <w:szCs w:val="24"/>
          <w:u w:val="single"/>
        </w:rPr>
        <w:t>los trasladarán al respectivo laboratorio del Instituto Nacional de Medicina Legal y Ciencias Forenses, o a cualquier otro laboratorio público o privado nacional o extranjero, para su respectivo examen, donde los entregarán bajo recibo.</w:t>
      </w:r>
    </w:p>
    <w:p w:rsidR="00600D79" w:rsidRPr="00FA7E5C" w:rsidRDefault="00600D79" w:rsidP="00600D79">
      <w:pPr>
        <w:pStyle w:val="Sinespaciado"/>
        <w:jc w:val="both"/>
        <w:rPr>
          <w:rFonts w:ascii="Times New Roman" w:hAnsi="Times New Roman" w:cs="Times New Roman"/>
          <w:sz w:val="24"/>
          <w:szCs w:val="24"/>
        </w:rPr>
      </w:pPr>
    </w:p>
    <w:p w:rsidR="00711ADA" w:rsidRPr="00FA7E5C" w:rsidRDefault="00711ADA"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46.</w:t>
      </w:r>
      <w:r w:rsidRPr="00FA7E5C">
        <w:rPr>
          <w:rFonts w:ascii="Times New Roman" w:hAnsi="Times New Roman" w:cs="Times New Roman"/>
          <w:sz w:val="24"/>
          <w:szCs w:val="24"/>
        </w:rPr>
        <w:t xml:space="preserve"> Modifíquese el Artículo 284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284. Prueba anticipada. Durante la investigación y hasta antes de la instalación de la audiencia de juicio oral se podrá practicar anticipadamente cualquier medio de prueba pertinente, con el cumplimiento de los siguientes requisitos: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Que sea practicada ante el juez que cumpla funciones de control de garantías.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2. Que sea solicitada por el Fiscal General o el fiscal delegado, </w:t>
      </w:r>
      <w:r w:rsidRPr="00FA7E5C">
        <w:rPr>
          <w:rFonts w:ascii="Times New Roman" w:hAnsi="Times New Roman" w:cs="Times New Roman"/>
          <w:sz w:val="24"/>
          <w:szCs w:val="24"/>
          <w:u w:val="single"/>
        </w:rPr>
        <w:t>la víctima</w:t>
      </w:r>
      <w:r w:rsidRPr="00FA7E5C">
        <w:rPr>
          <w:rFonts w:ascii="Times New Roman" w:hAnsi="Times New Roman" w:cs="Times New Roman"/>
          <w:sz w:val="24"/>
          <w:szCs w:val="24"/>
        </w:rPr>
        <w:t>, la defensa, o por el Ministerio Público en los casos previstos en el artículo 112”.</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Que sea por motivos fundados y de extrema necesidad y para evitar la pérdida o alteración del medio probatorio.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Que se practique en audiencia pública y con observancia de las reglas previstas para la práctica de pruebas en el juicio.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xml:space="preserve"> Si la prueba anticipada es solicitada a partir de la presentación del escrito de acusación, el peticionario deberá informar de esta circunstancia al Juez de conocimiento.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xml:space="preserve"> Contra la decisión de practicar la prueba anticipada proceden los recursos ordinarios. Si se negare, la parte interesada podrá de inmediato y por una sola vez, acudir </w:t>
      </w:r>
      <w:r w:rsidRPr="00FA7E5C">
        <w:rPr>
          <w:rFonts w:ascii="Times New Roman" w:hAnsi="Times New Roman" w:cs="Times New Roman"/>
          <w:sz w:val="24"/>
          <w:szCs w:val="24"/>
        </w:rPr>
        <w:lastRenderedPageBreak/>
        <w:t>ante otro Juez de control de garantías para que este en el acto reconsidere la medida. Su decisión no será objeto de recurso.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3.</w:t>
      </w:r>
      <w:r w:rsidRPr="00FA7E5C">
        <w:rPr>
          <w:rFonts w:ascii="Times New Roman" w:hAnsi="Times New Roman" w:cs="Times New Roman"/>
          <w:sz w:val="24"/>
          <w:szCs w:val="24"/>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4.</w:t>
      </w:r>
      <w:r w:rsidRPr="00FA7E5C">
        <w:rPr>
          <w:rFonts w:ascii="Times New Roman" w:hAnsi="Times New Roman" w:cs="Times New Roman"/>
          <w:sz w:val="24"/>
          <w:szCs w:val="24"/>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 prueba deberá practicarse antes de que quede en firme la decisión del Presidente de la República de conceder la extradición”.</w:t>
      </w:r>
    </w:p>
    <w:p w:rsidR="00A33157" w:rsidRPr="00FA7E5C" w:rsidRDefault="00A33157" w:rsidP="00600D79">
      <w:pPr>
        <w:pStyle w:val="Sinespaciado"/>
        <w:jc w:val="both"/>
        <w:rPr>
          <w:rFonts w:ascii="Times New Roman" w:hAnsi="Times New Roman" w:cs="Times New Roman"/>
          <w:sz w:val="24"/>
          <w:szCs w:val="24"/>
        </w:rPr>
      </w:pPr>
    </w:p>
    <w:p w:rsidR="00A33157" w:rsidRPr="00FA7E5C" w:rsidRDefault="00A33157" w:rsidP="00334DDB">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PARÁGRAFO</w:t>
      </w:r>
      <w:bookmarkStart w:id="2" w:name="19.p"/>
      <w:r w:rsidRPr="00FA7E5C">
        <w:rPr>
          <w:rFonts w:ascii="Times New Roman" w:hAnsi="Times New Roman" w:cs="Times New Roman"/>
          <w:sz w:val="24"/>
          <w:szCs w:val="24"/>
        </w:rPr>
        <w:t> </w:t>
      </w:r>
      <w:bookmarkEnd w:id="2"/>
      <w:r w:rsidRPr="00FA7E5C">
        <w:rPr>
          <w:rFonts w:ascii="Times New Roman" w:hAnsi="Times New Roman" w:cs="Times New Roman"/>
          <w:sz w:val="24"/>
          <w:szCs w:val="24"/>
        </w:rPr>
        <w:t xml:space="preserve"> 5. La prueba testimonial anticipada </w:t>
      </w:r>
      <w:r w:rsidR="00334DDB" w:rsidRPr="00FA7E5C">
        <w:rPr>
          <w:rFonts w:ascii="Times New Roman" w:hAnsi="Times New Roman" w:cs="Times New Roman"/>
          <w:sz w:val="24"/>
          <w:szCs w:val="24"/>
        </w:rPr>
        <w:t xml:space="preserve">se podrá practicar en todos los </w:t>
      </w:r>
      <w:r w:rsidRPr="00FA7E5C">
        <w:rPr>
          <w:rFonts w:ascii="Times New Roman" w:hAnsi="Times New Roman" w:cs="Times New Roman"/>
          <w:sz w:val="24"/>
          <w:szCs w:val="24"/>
        </w:rPr>
        <w:t>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47.</w:t>
      </w:r>
      <w:r w:rsidRPr="00FA7E5C">
        <w:rPr>
          <w:rFonts w:ascii="Times New Roman" w:hAnsi="Times New Roman" w:cs="Times New Roman"/>
          <w:sz w:val="24"/>
          <w:szCs w:val="24"/>
        </w:rPr>
        <w:t xml:space="preserve"> El Capítulo Único del Título III del Libro II de la Ley 906 de 2004 se denominará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711ADA">
      <w:pPr>
        <w:pStyle w:val="Sinespaciado"/>
        <w:jc w:val="center"/>
        <w:rPr>
          <w:rFonts w:ascii="Times New Roman" w:hAnsi="Times New Roman" w:cs="Times New Roman"/>
          <w:sz w:val="24"/>
          <w:szCs w:val="24"/>
          <w:u w:val="single"/>
        </w:rPr>
      </w:pPr>
      <w:r w:rsidRPr="00FA7E5C">
        <w:rPr>
          <w:rFonts w:ascii="Times New Roman" w:hAnsi="Times New Roman" w:cs="Times New Roman"/>
          <w:sz w:val="24"/>
          <w:szCs w:val="24"/>
          <w:u w:val="single"/>
        </w:rPr>
        <w:t>"COMUNICACIÓN DE LA CALIDAD DE IMPUTADO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 xml:space="preserve">ARTÍCULO 48. </w:t>
      </w:r>
      <w:r w:rsidRPr="00FA7E5C">
        <w:rPr>
          <w:rFonts w:ascii="Times New Roman" w:hAnsi="Times New Roman" w:cs="Times New Roman"/>
          <w:sz w:val="24"/>
          <w:szCs w:val="24"/>
        </w:rPr>
        <w:t>Modifíquese el Artículo 286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"Artículo 286. Comunicación. </w:t>
      </w:r>
      <w:r w:rsidRPr="00FA7E5C">
        <w:rPr>
          <w:rFonts w:ascii="Times New Roman" w:hAnsi="Times New Roman" w:cs="Times New Roman"/>
          <w:sz w:val="24"/>
          <w:szCs w:val="24"/>
          <w:u w:val="single"/>
        </w:rPr>
        <w:t>La Fiscalía General de la Nación, como titular de la acción penal, comunicará por escrito al indiciado la calidad de imputado cuando se cumplan los requisitos establecidos en el artículo 287 de este Código. De esta comunicación deberá informarse y entregarse copia a la víctima y al ministerio público.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El fiscal citará al indiciado para que comparezca personalmente, quien podrá hacerlo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lastRenderedPageBreak/>
        <w:t>A partir del momento en que se realice el acto de comunicación, se activa formalmente el derecho de defensa, sin perjuicio de que si por otros medios el indiciado tuvo conocimiento con anterioridad de la indagación en su contra, pueda ejercerlo.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Parágrafo. En los eventos de contumacia o declaración de persona ausente, el acto de comunicación de la imputación se materializará con la entrega del acta al defensor público o de confianza que se hubiere designado para el efecto, durante la respectiva audiencia".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49.</w:t>
      </w:r>
      <w:r w:rsidRPr="00FA7E5C">
        <w:rPr>
          <w:rFonts w:ascii="Times New Roman" w:hAnsi="Times New Roman" w:cs="Times New Roman"/>
          <w:sz w:val="24"/>
          <w:szCs w:val="24"/>
        </w:rPr>
        <w:t xml:space="preserve"> Modifíquese el Artículo 287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287. Situaciones que determinan la imputación.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w:t>
      </w:r>
      <w:r w:rsidRPr="00FA7E5C">
        <w:rPr>
          <w:rFonts w:ascii="Times New Roman" w:hAnsi="Times New Roman" w:cs="Times New Roman"/>
          <w:sz w:val="24"/>
          <w:szCs w:val="24"/>
          <w:u w:val="single"/>
        </w:rPr>
        <w:t xml:space="preserve"> audiencia </w:t>
      </w:r>
      <w:r w:rsidRPr="00FA7E5C">
        <w:rPr>
          <w:rFonts w:ascii="Times New Roman" w:hAnsi="Times New Roman" w:cs="Times New Roman"/>
          <w:sz w:val="24"/>
          <w:szCs w:val="24"/>
        </w:rPr>
        <w:t>ante el juez de control de garantías para solicitar la imposición de la medida de aseguramiento que corresponda".</w:t>
      </w:r>
    </w:p>
    <w:p w:rsidR="00600D79" w:rsidRPr="00FA7E5C" w:rsidRDefault="00600D79" w:rsidP="00600D79">
      <w:pPr>
        <w:pStyle w:val="Sinespaciado"/>
        <w:jc w:val="both"/>
        <w:rPr>
          <w:rFonts w:ascii="Times New Roman" w:hAnsi="Times New Roman" w:cs="Times New Roman"/>
          <w:sz w:val="24"/>
          <w:szCs w:val="24"/>
        </w:rPr>
      </w:pPr>
    </w:p>
    <w:p w:rsidR="00711ADA" w:rsidRPr="00FA7E5C" w:rsidRDefault="00711ADA"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50.</w:t>
      </w:r>
      <w:r w:rsidRPr="00FA7E5C">
        <w:rPr>
          <w:rFonts w:ascii="Times New Roman" w:hAnsi="Times New Roman" w:cs="Times New Roman"/>
          <w:sz w:val="24"/>
          <w:szCs w:val="24"/>
        </w:rPr>
        <w:t xml:space="preserve"> Modifíquese el Artículo 288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Artículo 288. Contenido. </w:t>
      </w:r>
      <w:r w:rsidRPr="00FA7E5C">
        <w:rPr>
          <w:rFonts w:ascii="Times New Roman" w:hAnsi="Times New Roman" w:cs="Times New Roman"/>
          <w:sz w:val="24"/>
          <w:szCs w:val="24"/>
          <w:u w:val="single"/>
        </w:rPr>
        <w:t>La comunicación escrita que realizará la Fiscalía deberá contener:</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 La individualización concreta, incluyendo nombre, los datos que sirvan para identificarlo y el domicilio de citaciones.</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b) Una relación clara y sucinta de los hechos jurídicamente relevantes en lenguaje comprensible,</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c) La calificación jurídica provisional.</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d) La advertencia de que podrá ser llamado a juicio a través de la presentación del escrito de acusación.</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 La posibilidad de allanarse a los cargos comunicados, indicando la oportunidad y el beneficio punitivo que por este hecho le concede el art. 351 de este Código.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 xml:space="preserve">Salvo en los casos en los que ya se ha cumplido con la comunicación de la imputación, cuando se trate de captura en flagrancia o por orden de autoridad judicial previa y el fiscal pretenda solicitar medida de aseguramiento, el acto de comunicación de la imputación se entenderá surtido con lo argumentado oralmente en la solicitud ante el juez de control de garantías, la cual deberá contener los mismos requisitos establecidos en este artículo.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b/>
          <w:sz w:val="24"/>
          <w:szCs w:val="24"/>
        </w:rPr>
      </w:pPr>
      <w:r w:rsidRPr="00FA7E5C">
        <w:rPr>
          <w:rFonts w:ascii="Times New Roman" w:hAnsi="Times New Roman" w:cs="Times New Roman"/>
          <w:b/>
          <w:sz w:val="24"/>
          <w:szCs w:val="24"/>
        </w:rPr>
        <w:t>ARTÍCULO 51</w:t>
      </w:r>
      <w:r w:rsidRPr="00FA7E5C">
        <w:rPr>
          <w:rFonts w:ascii="Times New Roman" w:hAnsi="Times New Roman" w:cs="Times New Roman"/>
          <w:sz w:val="24"/>
          <w:szCs w:val="24"/>
        </w:rPr>
        <w:t>.</w:t>
      </w:r>
      <w:r w:rsidRPr="00FA7E5C">
        <w:rPr>
          <w:rFonts w:ascii="Times New Roman" w:hAnsi="Times New Roman" w:cs="Times New Roman"/>
          <w:b/>
          <w:sz w:val="24"/>
          <w:szCs w:val="24"/>
        </w:rPr>
        <w:t xml:space="preserve"> </w:t>
      </w:r>
      <w:r w:rsidRPr="00FA7E5C">
        <w:rPr>
          <w:rFonts w:ascii="Times New Roman" w:hAnsi="Times New Roman" w:cs="Times New Roman"/>
          <w:sz w:val="24"/>
          <w:szCs w:val="24"/>
        </w:rPr>
        <w:t>Modifíquese el Artículo 289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289. Formalidades</w:t>
      </w:r>
      <w:r w:rsidRPr="00FA7E5C">
        <w:rPr>
          <w:rFonts w:ascii="Times New Roman" w:hAnsi="Times New Roman" w:cs="Times New Roman"/>
          <w:b/>
          <w:sz w:val="24"/>
          <w:szCs w:val="24"/>
        </w:rPr>
        <w:t>.</w:t>
      </w:r>
      <w:r w:rsidRPr="00FA7E5C">
        <w:rPr>
          <w:rFonts w:ascii="Times New Roman" w:hAnsi="Times New Roman" w:cs="Times New Roman"/>
          <w:sz w:val="24"/>
          <w:szCs w:val="24"/>
          <w:u w:val="single"/>
        </w:rPr>
        <w:t xml:space="preserve"> La imputación </w:t>
      </w:r>
      <w:r w:rsidRPr="00FA7E5C">
        <w:rPr>
          <w:rFonts w:ascii="Times New Roman" w:hAnsi="Times New Roman" w:cs="Times New Roman"/>
          <w:sz w:val="24"/>
          <w:szCs w:val="24"/>
        </w:rPr>
        <w:t xml:space="preserve">se cumplirá con la presencia del imputado y su defensor, ya sea de confianza o, a falta de este, el que fuere designado por el sistema nacional de defensoría pública, </w:t>
      </w:r>
      <w:r w:rsidRPr="00FA7E5C">
        <w:rPr>
          <w:rFonts w:ascii="Times New Roman" w:hAnsi="Times New Roman" w:cs="Times New Roman"/>
          <w:sz w:val="24"/>
          <w:szCs w:val="24"/>
          <w:u w:val="single"/>
        </w:rPr>
        <w:t>en los términos del artículo 286 de este Código. El indiciado podrá autorizar a su defensor para que se entere de la imputación</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xml:space="preserve">. Ante el juez de control de garantías, el fiscal podrá legalizar la captura, con la sola presencia del defensor de confianza o designado por el sistema nacional de defensoría </w:t>
      </w:r>
      <w:r w:rsidRPr="00FA7E5C">
        <w:rPr>
          <w:rFonts w:ascii="Times New Roman" w:hAnsi="Times New Roman" w:cs="Times New Roman"/>
          <w:sz w:val="24"/>
          <w:szCs w:val="24"/>
        </w:rPr>
        <w:lastRenderedPageBreak/>
        <w:t>pública, cuando el capturado haya entrado en estado de inconsciencia después de la privación de la libertad o se encuentre en un estado de salud que le impida ejercer su defensa material.</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b/>
          <w:sz w:val="24"/>
          <w:szCs w:val="24"/>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y la respuesta a las demás solicitudes de las partes.</w:t>
      </w:r>
    </w:p>
    <w:p w:rsidR="00600D79" w:rsidRPr="00FA7E5C" w:rsidRDefault="00600D79" w:rsidP="00600D79">
      <w:pPr>
        <w:pStyle w:val="Sinespaciado"/>
        <w:jc w:val="both"/>
        <w:rPr>
          <w:rFonts w:ascii="Times New Roman" w:hAnsi="Times New Roman" w:cs="Times New Roman"/>
          <w:b/>
          <w:sz w:val="24"/>
          <w:szCs w:val="24"/>
        </w:rPr>
      </w:pPr>
    </w:p>
    <w:p w:rsidR="00711ADA" w:rsidRPr="00FA7E5C" w:rsidRDefault="00711ADA" w:rsidP="00600D79">
      <w:pPr>
        <w:pStyle w:val="Sinespaciado"/>
        <w:jc w:val="both"/>
        <w:rPr>
          <w:rFonts w:ascii="Times New Roman" w:hAnsi="Times New Roman" w:cs="Times New Roman"/>
          <w:b/>
          <w:sz w:val="24"/>
          <w:szCs w:val="24"/>
        </w:rPr>
      </w:pPr>
    </w:p>
    <w:p w:rsidR="00711ADA" w:rsidRPr="00FA7E5C" w:rsidRDefault="00711ADA"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 xml:space="preserve">ARTÍCULO 52. </w:t>
      </w:r>
      <w:r w:rsidRPr="00FA7E5C">
        <w:rPr>
          <w:rFonts w:ascii="Times New Roman" w:hAnsi="Times New Roman" w:cs="Times New Roman"/>
          <w:sz w:val="24"/>
          <w:szCs w:val="24"/>
        </w:rPr>
        <w:t>Modifíquese el Artículo 291 de la Ley 906 de 2004, el cual quedará así:</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Artículo 291. Contumacia</w:t>
      </w:r>
      <w:r w:rsidRPr="00FA7E5C">
        <w:rPr>
          <w:rFonts w:ascii="Times New Roman" w:hAnsi="Times New Roman" w:cs="Times New Roman"/>
          <w:b/>
          <w:sz w:val="24"/>
          <w:szCs w:val="24"/>
          <w:u w:val="single"/>
        </w:rPr>
        <w:t>.</w:t>
      </w:r>
      <w:r w:rsidRPr="00FA7E5C">
        <w:rPr>
          <w:rFonts w:ascii="Times New Roman" w:hAnsi="Times New Roman" w:cs="Times New Roman"/>
          <w:sz w:val="24"/>
          <w:szCs w:val="24"/>
          <w:u w:val="single"/>
        </w:rPr>
        <w:t xml:space="preserve">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ante la imposibilidad justificada de comparecer más de una vez o ante su no comparecencia injustificada, el juez de forma inmediata procederá a designar un defensor, escogido de la lista suministrada por el sistema nacional de defensoría pública.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El defensor nombrado por el juez podrá solicitar un receso para preparar la defensa, solicitud que será valorada por el juez con la aplicación de criterios de razonabilidad.</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Contra las decisiones de declaratoria de contumacia y la que decide sobre el receso solicitado por la defensa procede el recurso de reposición.</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53.</w:t>
      </w:r>
      <w:r w:rsidRPr="00FA7E5C">
        <w:rPr>
          <w:rFonts w:ascii="Times New Roman" w:hAnsi="Times New Roman" w:cs="Times New Roman"/>
          <w:sz w:val="24"/>
          <w:szCs w:val="24"/>
        </w:rPr>
        <w:t xml:space="preserve"> Modifíquese el Artículo 292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"Artículo 292. Interrupción de la prescripción. La prescripción de la acción penal se interrumpe con la comunicación de la imputación de que trata el artículo 286 de este Código.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Producida la interrupción del término prescriptivo, este comenzará a correr de nuevo por un término igual a la mitad del señalado en el artículo 83 del Código Penal. En este evento no podrá ser inferior a cinco (5) años."</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b/>
          <w:sz w:val="24"/>
          <w:szCs w:val="24"/>
        </w:rPr>
      </w:pPr>
      <w:r w:rsidRPr="00FA7E5C">
        <w:rPr>
          <w:rFonts w:ascii="Times New Roman" w:hAnsi="Times New Roman" w:cs="Times New Roman"/>
          <w:b/>
          <w:sz w:val="24"/>
          <w:szCs w:val="24"/>
        </w:rPr>
        <w:t>ARTÍCULO 54.</w:t>
      </w:r>
      <w:r w:rsidRPr="00FA7E5C">
        <w:rPr>
          <w:rFonts w:ascii="Times New Roman" w:hAnsi="Times New Roman" w:cs="Times New Roman"/>
          <w:sz w:val="24"/>
          <w:szCs w:val="24"/>
        </w:rPr>
        <w:t xml:space="preserve"> Modifíquese el Artículo 293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“Artículo 293. Procedimiento en caso de aceptación de la imputación. Si el imputado</w:t>
      </w:r>
      <w:r w:rsidRPr="00FA7E5C">
        <w:rPr>
          <w:rFonts w:ascii="Times New Roman" w:hAnsi="Times New Roman" w:cs="Times New Roman"/>
          <w:sz w:val="24"/>
          <w:szCs w:val="24"/>
          <w:u w:val="single"/>
        </w:rPr>
        <w:t xml:space="preserve">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w:t>
      </w:r>
      <w:r w:rsidRPr="00FA7E5C">
        <w:rPr>
          <w:rFonts w:ascii="Times New Roman" w:hAnsi="Times New Roman" w:cs="Times New Roman"/>
          <w:b/>
          <w:sz w:val="24"/>
          <w:szCs w:val="24"/>
          <w:u w:val="single"/>
        </w:rPr>
        <w:t>.</w:t>
      </w:r>
      <w:r w:rsidRPr="00FA7E5C">
        <w:rPr>
          <w:rFonts w:ascii="Times New Roman" w:hAnsi="Times New Roman" w:cs="Times New Roman"/>
          <w:sz w:val="24"/>
          <w:szCs w:val="24"/>
          <w:u w:val="single"/>
        </w:rPr>
        <w:t xml:space="preserve">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La aceptación de cargos se llevará a cabo en los términos del inciso tercero del artículo 354. En ese caso, la fiscalía, el imputado y su defensor suscribirán un acta en la que conste la </w:t>
      </w:r>
      <w:r w:rsidRPr="00FA7E5C">
        <w:rPr>
          <w:rFonts w:ascii="Times New Roman" w:hAnsi="Times New Roman" w:cs="Times New Roman"/>
          <w:sz w:val="24"/>
          <w:szCs w:val="24"/>
          <w:u w:val="single"/>
        </w:rPr>
        <w:lastRenderedPageBreak/>
        <w:t>intención del procesado de aceptar la responsabilidad. Dicho documento deberá anexarse al escrito de imputación. Estos serán presentados ante el juez de conocimiento para que verifique que la aceptación de los cargos se haga de manera libre, voluntaria e informada y se lleve a cabo el trámite del artículo 447.</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55.</w:t>
      </w:r>
      <w:r w:rsidRPr="00FA7E5C">
        <w:rPr>
          <w:rFonts w:ascii="Times New Roman" w:hAnsi="Times New Roman" w:cs="Times New Roman"/>
          <w:sz w:val="24"/>
          <w:szCs w:val="24"/>
        </w:rPr>
        <w:t xml:space="preserve"> Modifíquese el Artículo 307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307. Medidas de aseguramiento. Son medidas de aseguramiento: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 Privativas de la libertad</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Detención preventiva en establecimiento de reclusión.</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Detención preventiva en la residencia señalada por el imputado, siempre que esa ubicación no obstaculice el juzgamiento;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B. No </w:t>
      </w:r>
      <w:proofErr w:type="gramStart"/>
      <w:r w:rsidRPr="00FA7E5C">
        <w:rPr>
          <w:rFonts w:ascii="Times New Roman" w:hAnsi="Times New Roman" w:cs="Times New Roman"/>
          <w:sz w:val="24"/>
          <w:szCs w:val="24"/>
        </w:rPr>
        <w:t>privativas</w:t>
      </w:r>
      <w:proofErr w:type="gramEnd"/>
      <w:r w:rsidRPr="00FA7E5C">
        <w:rPr>
          <w:rFonts w:ascii="Times New Roman" w:hAnsi="Times New Roman" w:cs="Times New Roman"/>
          <w:sz w:val="24"/>
          <w:szCs w:val="24"/>
        </w:rPr>
        <w:t xml:space="preserve"> de la libertad</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La obligación de someterse a un mecanismo de vigilancia electrónica.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La obligación de someterse a la vigilancia de una persona o institución determinada.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La obligación de presentarse periódicamente o cuando sea requerido ante el juez o ante la autoridad que él designe.</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La obligación de observar buena conducta individual, familiar y social, con especificación de la misma y su relación con el hecho.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La prohibición de salir del país, del lugar en el cual reside o del ámbito territorial que fije el juez.</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6. La prohibición de concurrir a determinadas reuniones o lugares.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La prohibición de comunicarse con determinadas personas o con las víctimas, siempre que no se afecte el derecho a la defensa.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8. La prestación de una caución real adecuada, por el propio imputado o por otra persona, mediante depósito de dinero, valores, constitución de prenda* o hipoteca, entrega de bienes o la fianza de una o más personas idóneas.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9. La prohibición de salir del lugar de habitación entre las 6:00 p.m. y las 6:00 a.m.</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1.</w:t>
      </w:r>
      <w:r w:rsidRPr="00FA7E5C">
        <w:rPr>
          <w:rFonts w:ascii="Times New Roman" w:hAnsi="Times New Roman" w:cs="Times New Roman"/>
          <w:sz w:val="24"/>
          <w:szCs w:val="24"/>
          <w:u w:val="single"/>
        </w:rPr>
        <w:t xml:space="preserve"> Salvo lo previsto en los párrafos 2° y 3° del artículo 317 del Código de Procedimiento Penal (Ley 906 de 2004), por regla general, el término de las medidas de aseguramiento privativas de la libertad no podrá exceder de dos (2) años.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Cuando el proceso se surta 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w:t>
      </w:r>
      <w:r w:rsidRPr="00FA7E5C">
        <w:rPr>
          <w:rFonts w:ascii="Times New Roman" w:hAnsi="Times New Roman" w:cs="Times New Roman"/>
          <w:sz w:val="24"/>
          <w:szCs w:val="24"/>
          <w:u w:val="single"/>
        </w:rPr>
        <w:lastRenderedPageBreak/>
        <w:t>las conductas previstas en el Título IV del Libro Segundo de la Ley 599 de 2000 (Código Penal), dicho término no podrá exceder de tres (3) años.</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Vencidos los términos de los incisos anteriores, el juez de control de garantías, a petición de la Fiscalía o del apoderado de la víctima, podrá prorrogar la detención preventiva hasta por la mitad del mismo término inicial.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La prórroga procederá cuando el peticionario demuestre que es necesaria para lograr alguna de las finalidades contempladas en el artículo 308 y siempre que las medidas de aseguramiento no privativas de la libertad resulten insuficientes para garantizar su cumplimiento.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En todo caso, el juez de control de garantías, a petición de la Fiscalía, la defensa o del apoderado de la víctima, podrá sustituir la medida de aseguramiento privativa de la libertad por otra u otras medidas de aseguramiento no privativas de la libertad de que trata el presente artículo. Esta sustitución podrá solicitarse tanto al final del término inicial como de su prórroga, sin perjuicio de lo establecido en el artículo 318”.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w:t>
      </w:r>
      <w:r w:rsidRPr="00FA7E5C">
        <w:rPr>
          <w:rFonts w:ascii="Times New Roman" w:hAnsi="Times New Roman" w:cs="Times New Roman"/>
          <w:b/>
          <w:sz w:val="24"/>
          <w:szCs w:val="24"/>
        </w:rPr>
        <w:t xml:space="preserve"> </w:t>
      </w:r>
      <w:r w:rsidRPr="00FA7E5C">
        <w:rPr>
          <w:rFonts w:ascii="Times New Roman" w:hAnsi="Times New Roman" w:cs="Times New Roman"/>
          <w:sz w:val="24"/>
          <w:szCs w:val="24"/>
          <w:u w:val="single"/>
        </w:rPr>
        <w:t xml:space="preserve">El juez al momento de resolver la solicitud de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En este último supuesto, el tiempo transcurrido como consecuencia de esas maniobras, no se contabilizará dentro del término máximo de la medida de aseguramiento privativa de la libertad contemplado en este artículo</w:t>
      </w:r>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Parágrafo 3.</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Por maniobras dilatorias atribuibles a la actividad procesal del interesado o de su defensor se entiende cualquier actuación a partir de la cual se pueda inferir, razonablemente, que el procesado o su defensa pretendieron retardar injustificadamente la continuación del proceso penal. Serán maniobras dilatorias atribuibles a la actividad procesal del interesado o de su defensor, entre otras, el aplazamiento reiterado de audiencias, la inasistencia injustificada a audiencias en el marco del proceso penal cuando la presencia de este sujeto procesal sea imprescindible para el adelantamiento de la diligencia, así como la interposición de recursos, la formulación de una recusación o de cualquier otro tipo de solicitudes, manifiestamente infundados</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bookmarkStart w:id="3" w:name="30j0zll"/>
      <w:bookmarkEnd w:id="3"/>
      <w:r w:rsidRPr="00FA7E5C">
        <w:rPr>
          <w:rFonts w:ascii="Times New Roman" w:hAnsi="Times New Roman" w:cs="Times New Roman"/>
          <w:b/>
          <w:sz w:val="24"/>
          <w:szCs w:val="24"/>
        </w:rPr>
        <w:t>ARTÍCULO 56</w:t>
      </w:r>
      <w:r w:rsidRPr="00FA7E5C">
        <w:rPr>
          <w:rFonts w:ascii="Times New Roman" w:hAnsi="Times New Roman" w:cs="Times New Roman"/>
          <w:sz w:val="24"/>
          <w:szCs w:val="24"/>
        </w:rPr>
        <w:t xml:space="preserve"> Modifíquese el Artículo 317 de la Ley 906 de 2004, el cual quedará así:</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b/>
          <w:sz w:val="24"/>
          <w:szCs w:val="24"/>
        </w:rPr>
      </w:pPr>
      <w:r w:rsidRPr="00FA7E5C">
        <w:rPr>
          <w:rFonts w:ascii="Times New Roman" w:hAnsi="Times New Roman" w:cs="Times New Roman"/>
          <w:b/>
          <w:sz w:val="24"/>
          <w:szCs w:val="24"/>
        </w:rPr>
        <w:t>“</w:t>
      </w:r>
      <w:r w:rsidRPr="00FA7E5C">
        <w:rPr>
          <w:rFonts w:ascii="Times New Roman" w:hAnsi="Times New Roman" w:cs="Times New Roman"/>
          <w:sz w:val="24"/>
          <w:szCs w:val="24"/>
        </w:rPr>
        <w:t>Artículo 317. Causales de libertad.</w:t>
      </w:r>
      <w:r w:rsidRPr="00FA7E5C">
        <w:rPr>
          <w:rFonts w:ascii="Times New Roman" w:hAnsi="Times New Roman" w:cs="Times New Roman"/>
          <w:b/>
          <w:sz w:val="24"/>
          <w:szCs w:val="24"/>
        </w:rPr>
        <w:t xml:space="preserve"> </w:t>
      </w:r>
      <w:r w:rsidRPr="00FA7E5C">
        <w:rPr>
          <w:rFonts w:ascii="Times New Roman" w:hAnsi="Times New Roman" w:cs="Times New Roman"/>
          <w:sz w:val="24"/>
          <w:szCs w:val="24"/>
          <w:u w:val="single"/>
        </w:rPr>
        <w:t>Las medidas de aseguramiento no privativas de la libertad</w:t>
      </w:r>
      <w:r w:rsidRPr="00FA7E5C">
        <w:rPr>
          <w:rFonts w:ascii="Times New Roman" w:hAnsi="Times New Roman" w:cs="Times New Roman"/>
          <w:sz w:val="24"/>
          <w:szCs w:val="24"/>
        </w:rPr>
        <w:t>, tendrán vigencia durante toda la actuación, la libertad del imputado o acusado se cumplirá de inmediato y solo procederá en los siguientes eventos: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Cuando se haya cumplido la pena según la determinación anticipada que para este efecto se haga, o se haya decretado la preclusión, o se haya absuelto al acusado.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Como consecuencia de la aplicación del Principio de Oportunidad.</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3. Como consecuencia de las cláusulas del acuerdo cuando haya sido aceptado por el Juez de Conocimiento.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4. Cuando transcurridos </w:t>
      </w:r>
      <w:r w:rsidRPr="00FA7E5C">
        <w:rPr>
          <w:rFonts w:ascii="Times New Roman" w:hAnsi="Times New Roman" w:cs="Times New Roman"/>
          <w:sz w:val="24"/>
          <w:szCs w:val="24"/>
          <w:u w:val="single"/>
        </w:rPr>
        <w:t>ciento veinte (120)</w:t>
      </w:r>
      <w:r w:rsidRPr="00FA7E5C">
        <w:rPr>
          <w:rFonts w:ascii="Times New Roman" w:hAnsi="Times New Roman" w:cs="Times New Roman"/>
          <w:sz w:val="24"/>
          <w:szCs w:val="24"/>
        </w:rPr>
        <w:t xml:space="preserve"> días contados a partir de la fecha de imputación no se hubiere presentado el escrito de acusación o solicitado la preclusión, conforme a lo dispuesto en el artículo </w:t>
      </w:r>
      <w:hyperlink r:id="rId8" w:anchor="294" w:history="1">
        <w:r w:rsidRPr="00FA7E5C">
          <w:rPr>
            <w:rStyle w:val="Hipervnculo"/>
            <w:rFonts w:ascii="Times New Roman" w:hAnsi="Times New Roman" w:cs="Times New Roman"/>
            <w:color w:val="auto"/>
            <w:sz w:val="24"/>
            <w:szCs w:val="24"/>
          </w:rPr>
          <w:t>294</w:t>
        </w:r>
      </w:hyperlink>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5. Cuando transcurridos </w:t>
      </w:r>
      <w:r w:rsidRPr="00FA7E5C">
        <w:rPr>
          <w:rFonts w:ascii="Times New Roman" w:hAnsi="Times New Roman" w:cs="Times New Roman"/>
          <w:sz w:val="24"/>
          <w:szCs w:val="24"/>
          <w:u w:val="single"/>
        </w:rPr>
        <w:t>doscientos cuarenta (240)</w:t>
      </w:r>
      <w:r w:rsidRPr="00FA7E5C">
        <w:rPr>
          <w:rFonts w:ascii="Times New Roman" w:hAnsi="Times New Roman" w:cs="Times New Roman"/>
          <w:sz w:val="24"/>
          <w:szCs w:val="24"/>
        </w:rPr>
        <w:t xml:space="preserve"> días contados a partir de la fecha de presentación del escrito de acusación, no se haya dado inicio a la audiencia de juicio.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6. Cuando transcurridos </w:t>
      </w:r>
      <w:r w:rsidRPr="00FA7E5C">
        <w:rPr>
          <w:rFonts w:ascii="Times New Roman" w:hAnsi="Times New Roman" w:cs="Times New Roman"/>
          <w:sz w:val="24"/>
          <w:szCs w:val="24"/>
          <w:u w:val="single"/>
        </w:rPr>
        <w:t>trescientos (300)</w:t>
      </w:r>
      <w:r w:rsidRPr="00FA7E5C">
        <w:rPr>
          <w:rFonts w:ascii="Times New Roman" w:hAnsi="Times New Roman" w:cs="Times New Roman"/>
          <w:sz w:val="24"/>
          <w:szCs w:val="24"/>
        </w:rPr>
        <w:t xml:space="preserve"> días contados a partir de la fecha de inicio de la audiencia de juicio, no se haya comunicado el fallo.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1o.</w:t>
      </w:r>
      <w:r w:rsidRPr="00FA7E5C">
        <w:rPr>
          <w:rFonts w:ascii="Times New Roman" w:hAnsi="Times New Roman" w:cs="Times New Roman"/>
          <w:sz w:val="24"/>
          <w:szCs w:val="24"/>
        </w:rPr>
        <w:t xml:space="preserve"> Los términos dispuestos en los numerales 4, 5 y 6 del presente artículo </w:t>
      </w:r>
      <w:r w:rsidRPr="00FA7E5C">
        <w:rPr>
          <w:rFonts w:ascii="Times New Roman" w:hAnsi="Times New Roman" w:cs="Times New Roman"/>
          <w:sz w:val="24"/>
          <w:szCs w:val="24"/>
          <w:u w:val="single"/>
        </w:rPr>
        <w:t>se incrementarán en la mitad del término previsto inicialmente cuando</w:t>
      </w:r>
      <w:r w:rsidRPr="00FA7E5C">
        <w:rPr>
          <w:rFonts w:ascii="Times New Roman" w:hAnsi="Times New Roman" w:cs="Times New Roman"/>
          <w:sz w:val="24"/>
          <w:szCs w:val="24"/>
        </w:rPr>
        <w:t xml:space="preserve"> el proceso se surta </w:t>
      </w:r>
      <w:r w:rsidRPr="00FA7E5C">
        <w:rPr>
          <w:rFonts w:ascii="Times New Roman" w:hAnsi="Times New Roman" w:cs="Times New Roman"/>
          <w:sz w:val="24"/>
          <w:szCs w:val="24"/>
          <w:u w:val="single"/>
        </w:rPr>
        <w:t>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2o.</w:t>
      </w:r>
      <w:r w:rsidRPr="00FA7E5C">
        <w:rPr>
          <w:rFonts w:ascii="Times New Roman" w:hAnsi="Times New Roman" w:cs="Times New Roman"/>
          <w:sz w:val="24"/>
          <w:szCs w:val="24"/>
        </w:rPr>
        <w:t xml:space="preserve"> En los numerales 4 y 5 se restablecerán los términos cuando hubiere </w:t>
      </w:r>
      <w:proofErr w:type="spellStart"/>
      <w:r w:rsidRPr="00FA7E5C">
        <w:rPr>
          <w:rFonts w:ascii="Times New Roman" w:hAnsi="Times New Roman" w:cs="Times New Roman"/>
          <w:sz w:val="24"/>
          <w:szCs w:val="24"/>
        </w:rPr>
        <w:t>improbación</w:t>
      </w:r>
      <w:proofErr w:type="spellEnd"/>
      <w:r w:rsidRPr="00FA7E5C">
        <w:rPr>
          <w:rFonts w:ascii="Times New Roman" w:hAnsi="Times New Roman" w:cs="Times New Roman"/>
          <w:sz w:val="24"/>
          <w:szCs w:val="24"/>
        </w:rPr>
        <w:t xml:space="preserve"> de la aceptación de cargos, de los preacuerdos o de la aplicación del principio de oportunidad.</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3o.</w:t>
      </w:r>
      <w:r w:rsidRPr="00FA7E5C">
        <w:rPr>
          <w:rFonts w:ascii="Times New Roman" w:hAnsi="Times New Roman" w:cs="Times New Roman"/>
          <w:sz w:val="24"/>
          <w:szCs w:val="24"/>
        </w:rPr>
        <w:t> Cuando la audiencia de juicio oral no se haya podido iniciar o terminar por maniobras dilatorias del acusado o su defensor, no se contabilizarán dentro de los términos contenidos en los numerales 5 y 6 de este artículo, los días empleados en ellas.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9" w:anchor="317" w:history="1">
        <w:r w:rsidRPr="00FA7E5C">
          <w:rPr>
            <w:rStyle w:val="Hipervnculo"/>
            <w:rFonts w:ascii="Times New Roman" w:hAnsi="Times New Roman" w:cs="Times New Roman"/>
            <w:color w:val="auto"/>
            <w:sz w:val="24"/>
            <w:szCs w:val="24"/>
          </w:rPr>
          <w:t>317</w:t>
        </w:r>
      </w:hyperlink>
      <w:r w:rsidRPr="00FA7E5C">
        <w:rPr>
          <w:rFonts w:ascii="Times New Roman" w:hAnsi="Times New Roman" w:cs="Times New Roman"/>
          <w:sz w:val="24"/>
          <w:szCs w:val="24"/>
        </w:rPr>
        <w:t>.</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57.</w:t>
      </w:r>
      <w:r w:rsidRPr="00FA7E5C">
        <w:rPr>
          <w:rFonts w:ascii="Times New Roman" w:hAnsi="Times New Roman" w:cs="Times New Roman"/>
          <w:sz w:val="24"/>
          <w:szCs w:val="24"/>
        </w:rPr>
        <w:t> Modifíquese el Artículo 316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316. Incumplimiento. Si el imputado o acusado incumpliere alguna de las obligaciones impuestas al concederle la detención domiciliaria, a petición de la Fiscalía, </w:t>
      </w:r>
      <w:r w:rsidRPr="00FA7E5C">
        <w:rPr>
          <w:rFonts w:ascii="Times New Roman" w:hAnsi="Times New Roman" w:cs="Times New Roman"/>
          <w:sz w:val="24"/>
          <w:szCs w:val="24"/>
          <w:u w:val="single"/>
        </w:rPr>
        <w:t>la víctima</w:t>
      </w:r>
      <w:r w:rsidRPr="00FA7E5C">
        <w:rPr>
          <w:rFonts w:ascii="Times New Roman" w:hAnsi="Times New Roman" w:cs="Times New Roman"/>
          <w:sz w:val="24"/>
          <w:szCs w:val="24"/>
        </w:rPr>
        <w:t>, o el Ministerio Público, el juez ordenará inmediatamente su reclusión en establecimiento carcelario.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incumplimiento se procederá de conformidad con el inciso anterior”</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58.</w:t>
      </w:r>
      <w:r w:rsidRPr="00FA7E5C">
        <w:rPr>
          <w:rFonts w:ascii="Times New Roman" w:hAnsi="Times New Roman" w:cs="Times New Roman"/>
          <w:sz w:val="24"/>
          <w:szCs w:val="24"/>
        </w:rPr>
        <w:t xml:space="preserve"> Modifíquese el Artículo 320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320. Informe sobre medidas de aseguramiento. El juez que profiera, modifique o revoque una medida de aseguramiento deberá informarlo inmediatamente a la Fiscalía General de la Nación y a la Unidad Administrativa Especial de Migración Colombia, </w:t>
      </w:r>
      <w:r w:rsidRPr="00FA7E5C">
        <w:rPr>
          <w:rFonts w:ascii="Times New Roman" w:hAnsi="Times New Roman" w:cs="Times New Roman"/>
          <w:sz w:val="24"/>
          <w:szCs w:val="24"/>
          <w:u w:val="single"/>
        </w:rPr>
        <w:t>el incumplimiento de éste deber será causal de mala conducta.</w:t>
      </w:r>
      <w:r w:rsidRPr="00FA7E5C">
        <w:rPr>
          <w:rFonts w:ascii="Times New Roman" w:hAnsi="Times New Roman" w:cs="Times New Roman"/>
          <w:sz w:val="24"/>
          <w:szCs w:val="24"/>
        </w:rPr>
        <w:t xml:space="preserve"> Tales datos serán registrados y almacenados en el sistema de información que, para el efecto administrará la Fiscalía General de la Nación”.</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59.</w:t>
      </w:r>
      <w:r w:rsidRPr="00FA7E5C">
        <w:rPr>
          <w:rFonts w:ascii="Times New Roman" w:hAnsi="Times New Roman" w:cs="Times New Roman"/>
          <w:sz w:val="24"/>
          <w:szCs w:val="24"/>
        </w:rPr>
        <w:t> Modifíquese el Artículo 321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Artículo 321. Principio de oportunidad y política criminal. La aplicación del principio de oportunidad deberá hacerse con sujeción a la política criminal del Estado </w:t>
      </w:r>
      <w:r w:rsidRPr="00FA7E5C">
        <w:rPr>
          <w:rFonts w:ascii="Times New Roman" w:hAnsi="Times New Roman" w:cs="Times New Roman"/>
          <w:sz w:val="24"/>
          <w:szCs w:val="24"/>
          <w:u w:val="single"/>
        </w:rPr>
        <w:t>y a la reglamentación expedida por el Fiscal General de la Nación.</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60.</w:t>
      </w:r>
      <w:r w:rsidRPr="00FA7E5C">
        <w:rPr>
          <w:rFonts w:ascii="Times New Roman" w:hAnsi="Times New Roman" w:cs="Times New Roman"/>
          <w:sz w:val="24"/>
          <w:szCs w:val="24"/>
        </w:rPr>
        <w:t xml:space="preserve"> Modifíquese el Artículo 333 de la Ley 906 de 2004, el cual quedarán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333. Trámite. Previa solicitud del fiscal el juez citará a audiencia, dentro de los cinco (5) días siguientes, en la que se estudiará la petición de preclusión.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Instalada la audiencia, se concederá el uso de la palabra al fiscal para que exponga su solicitud con indicación de los elementos materiales probatorios y la evidencia física que sustentaron la </w:t>
      </w:r>
      <w:r w:rsidRPr="00FA7E5C">
        <w:rPr>
          <w:rFonts w:ascii="Times New Roman" w:hAnsi="Times New Roman" w:cs="Times New Roman"/>
          <w:sz w:val="24"/>
          <w:szCs w:val="24"/>
          <w:u w:val="single"/>
        </w:rPr>
        <w:t>comunicación de la imputación</w:t>
      </w:r>
      <w:r w:rsidRPr="00FA7E5C">
        <w:rPr>
          <w:rFonts w:ascii="Times New Roman" w:hAnsi="Times New Roman" w:cs="Times New Roman"/>
          <w:sz w:val="24"/>
          <w:szCs w:val="24"/>
        </w:rPr>
        <w:t xml:space="preserve"> y fundamentación de la causal incoada.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Acto seguido se conferirá el uso de la palabra a la víctima, al agente del Ministerio Público y al defensor del imputado.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La víctima podrá allegar o indicar elementos materiales probatorios y evidencias físicas con el fin de oponerse a la petición de preclusión.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En ningún caso habrá lugar a solicitud ni práctica de pruebas, </w:t>
      </w:r>
      <w:r w:rsidRPr="00FA7E5C">
        <w:rPr>
          <w:rFonts w:ascii="Times New Roman" w:hAnsi="Times New Roman" w:cs="Times New Roman"/>
          <w:sz w:val="24"/>
          <w:szCs w:val="24"/>
          <w:u w:val="single"/>
        </w:rPr>
        <w:t>salvo lo dispuesto en el inciso anterior.</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Agotado el debate el juez podrá decretar un receso hasta por una (1) hora para preparar la decisión que motivara oralmente.”</w:t>
      </w:r>
    </w:p>
    <w:p w:rsidR="00600D79" w:rsidRPr="00FA7E5C" w:rsidRDefault="00600D79" w:rsidP="00600D79">
      <w:pPr>
        <w:pStyle w:val="Sinespaciado"/>
        <w:jc w:val="both"/>
        <w:rPr>
          <w:rFonts w:ascii="Times New Roman" w:hAnsi="Times New Roman" w:cs="Times New Roman"/>
          <w:b/>
          <w:sz w:val="24"/>
          <w:szCs w:val="24"/>
        </w:rPr>
      </w:pPr>
    </w:p>
    <w:p w:rsidR="00932DA4" w:rsidRPr="00FA7E5C" w:rsidRDefault="00932DA4"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61.</w:t>
      </w:r>
      <w:r w:rsidRPr="00FA7E5C">
        <w:rPr>
          <w:rFonts w:ascii="Times New Roman" w:hAnsi="Times New Roman" w:cs="Times New Roman"/>
          <w:sz w:val="24"/>
          <w:szCs w:val="24"/>
        </w:rPr>
        <w:t xml:space="preserve"> Modifíquese el artículo 335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335. Rechazo de la solicitud de preclusión. En firme el auto que rechaza la preclusión las diligencias volverán a la Fiscalía, restituyéndose el término que duró el trámite de la preclusión.</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El juez que niega la preclusión no podrá ordenar a la Fiscalía General de la Nación presentar acusación o tomar alguna decisión respecto del ejercicio de la acción penal, incluida la práctica de pruebas.</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El juez que conozca de la preclusión quedará impedido para conocer del juicio.”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 xml:space="preserve">ARTÍCULO 62. </w:t>
      </w:r>
      <w:r w:rsidRPr="00FA7E5C">
        <w:rPr>
          <w:rFonts w:ascii="Times New Roman" w:hAnsi="Times New Roman" w:cs="Times New Roman"/>
          <w:sz w:val="24"/>
          <w:szCs w:val="24"/>
        </w:rPr>
        <w:t>Modifíquese el Artículo 339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339. Trámite. Abierta por el juez la audiencia, ordenará el traslado del escrito de acusación a las demás partes; concederá la palabra a la Fiscalía, </w:t>
      </w:r>
      <w:r w:rsidRPr="00FA7E5C">
        <w:rPr>
          <w:rFonts w:ascii="Times New Roman" w:hAnsi="Times New Roman" w:cs="Times New Roman"/>
          <w:sz w:val="24"/>
          <w:szCs w:val="24"/>
          <w:u w:val="single"/>
        </w:rPr>
        <w:t>víctima,</w:t>
      </w:r>
      <w:r w:rsidRPr="00FA7E5C">
        <w:rPr>
          <w:rFonts w:ascii="Times New Roman" w:hAnsi="Times New Roman" w:cs="Times New Roman"/>
          <w:sz w:val="24"/>
          <w:szCs w:val="24"/>
        </w:rPr>
        <w:t xml:space="preserve">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adicione o corrija de inmediato.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Una vez resuelto lo anterior, el Juez</w:t>
      </w:r>
      <w:r w:rsidRPr="00FA7E5C">
        <w:rPr>
          <w:rFonts w:ascii="Times New Roman" w:hAnsi="Times New Roman" w:cs="Times New Roman"/>
          <w:sz w:val="24"/>
          <w:szCs w:val="24"/>
          <w:u w:val="single"/>
        </w:rPr>
        <w:t xml:space="preserve"> </w:t>
      </w:r>
      <w:r w:rsidRPr="00FA7E5C">
        <w:rPr>
          <w:rFonts w:ascii="Times New Roman" w:hAnsi="Times New Roman" w:cs="Times New Roman"/>
          <w:sz w:val="24"/>
          <w:szCs w:val="24"/>
        </w:rPr>
        <w:t>concederá la palabra al fiscal para que formule la correspondiente acusación.</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Formulada la acusación, el juez preguntará al procesado si acepta los cargos formulados por la fiscalía. En caso de allanarse, se procederá a dictar sentencia de conformidad con lo previsto en el artículo 352. En caso contrario, se continuará con el trámite ordinario.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deberá presidir toda la audiencia y se requerirá para su validez la presencia del fiscal, del abogado defensor y del acusado privado de la libertad, a menos que no desee hacerlo o sea renuente a su traslado.”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63.</w:t>
      </w:r>
      <w:r w:rsidRPr="00FA7E5C">
        <w:rPr>
          <w:rFonts w:ascii="Times New Roman" w:hAnsi="Times New Roman" w:cs="Times New Roman"/>
          <w:sz w:val="24"/>
          <w:szCs w:val="24"/>
        </w:rPr>
        <w:t xml:space="preserve"> Modifíquese el Artículo 342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342º. Medidas de protección. Una vez formulada la acusación, el juez podrá, a solicitud de la Fiscalía </w:t>
      </w:r>
      <w:r w:rsidRPr="00FA7E5C">
        <w:rPr>
          <w:rFonts w:ascii="Times New Roman" w:hAnsi="Times New Roman" w:cs="Times New Roman"/>
          <w:sz w:val="24"/>
          <w:szCs w:val="24"/>
          <w:u w:val="single"/>
        </w:rPr>
        <w:t>o de la víctima</w:t>
      </w:r>
      <w:r w:rsidRPr="00FA7E5C">
        <w:rPr>
          <w:rFonts w:ascii="Times New Roman" w:hAnsi="Times New Roman" w:cs="Times New Roman"/>
          <w:sz w:val="24"/>
          <w:szCs w:val="24"/>
        </w:rPr>
        <w:t>, cuando se considere necesario para la protección integral de las víctimas o testigos, ordenar:”</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64</w:t>
      </w:r>
      <w:r w:rsidRPr="00FA7E5C">
        <w:rPr>
          <w:rFonts w:ascii="Times New Roman" w:hAnsi="Times New Roman" w:cs="Times New Roman"/>
          <w:sz w:val="24"/>
          <w:szCs w:val="24"/>
        </w:rPr>
        <w:t>. Modifíquese el Artículo 344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344. Inicio del descubrimiento. Dentro de la audiencia de formulación de acusación se cumplirá lo relacionado con el descubrimiento de la prueba. </w:t>
      </w:r>
      <w:r w:rsidRPr="00FA7E5C">
        <w:rPr>
          <w:rFonts w:ascii="Times New Roman" w:hAnsi="Times New Roman" w:cs="Times New Roman"/>
          <w:sz w:val="24"/>
          <w:szCs w:val="24"/>
          <w:u w:val="single"/>
        </w:rPr>
        <w:t>A este respecto, la víctima </w:t>
      </w:r>
      <w:r w:rsidRPr="00FA7E5C">
        <w:rPr>
          <w:rFonts w:ascii="Times New Roman" w:hAnsi="Times New Roman" w:cs="Times New Roman"/>
          <w:sz w:val="24"/>
          <w:szCs w:val="24"/>
        </w:rPr>
        <w:t>y la defensa podrán solicitar al Juez de Conocimiento que ordene a la Fiscalía, o a quien corresponda, el descubrimiento</w:t>
      </w:r>
      <w:r w:rsidRPr="00FA7E5C">
        <w:rPr>
          <w:rFonts w:ascii="Times New Roman" w:hAnsi="Times New Roman" w:cs="Times New Roman"/>
          <w:sz w:val="24"/>
          <w:szCs w:val="24"/>
          <w:u w:val="single"/>
        </w:rPr>
        <w:t xml:space="preserve"> de todos o de algunos de los elementos materiales probatorios y las evidencias físicas de que tenga conocimiento, </w:t>
      </w:r>
      <w:r w:rsidRPr="00FA7E5C">
        <w:rPr>
          <w:rFonts w:ascii="Times New Roman" w:hAnsi="Times New Roman" w:cs="Times New Roman"/>
          <w:sz w:val="24"/>
          <w:szCs w:val="24"/>
        </w:rPr>
        <w:t>y el juez ordenará, si es pertinente, descubrir, exhibir o entregar copia según se solicite, con un plazo máximo de tres (3) días para su cumplimiento.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velará porque el descubrimiento sea lo más completo posible durante la audiencia de formulación de acusación.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Sin embargo, si durante el juicio alguna de las partes encuentra un elemento material probatorio y evidencia física muy significativos que debería ser descubierto, lo pondrá en conocimiento del juez quien, oídas las partes y considerado el perjuicio que podría </w:t>
      </w:r>
      <w:r w:rsidRPr="00FA7E5C">
        <w:rPr>
          <w:rFonts w:ascii="Times New Roman" w:hAnsi="Times New Roman" w:cs="Times New Roman"/>
          <w:sz w:val="24"/>
          <w:szCs w:val="24"/>
        </w:rPr>
        <w:lastRenderedPageBreak/>
        <w:t>producirse al derecho de defensa y la integridad del juicio, decidirá si es excepcionalmente admisible o si debe excluirse esa prueba</w:t>
      </w:r>
      <w:r w:rsidRPr="00FA7E5C">
        <w:rPr>
          <w:rFonts w:ascii="Times New Roman" w:hAnsi="Times New Roman" w:cs="Times New Roman"/>
          <w:sz w:val="24"/>
          <w:szCs w:val="24"/>
          <w:u w:val="single"/>
        </w:rPr>
        <w:t>.</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w:t>
      </w:r>
      <w:r w:rsidRPr="00FA7E5C">
        <w:rPr>
          <w:rFonts w:ascii="Times New Roman" w:hAnsi="Times New Roman" w:cs="Times New Roman"/>
          <w:sz w:val="24"/>
          <w:szCs w:val="24"/>
          <w:u w:val="single"/>
        </w:rPr>
        <w:t>. En el evento en que la víctima tenga en su poder elementos materiales probatorios y evidencias físicas por descubrir, lo hará directamente en esta audiencia, y el juez ordenará, si es pertinente, descubrir, exhibir o entregar copia según solicite la Fiscalía o la defensa, con un plazo máximo de tres (3) días para su cumplimiento. Para efectos del descubrimiento de la víctima, se aplicará lo dispuesto en el artículo 346 de este Código.”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65.</w:t>
      </w:r>
      <w:r w:rsidRPr="00FA7E5C">
        <w:rPr>
          <w:rFonts w:ascii="Times New Roman" w:hAnsi="Times New Roman" w:cs="Times New Roman"/>
          <w:sz w:val="24"/>
          <w:szCs w:val="24"/>
        </w:rPr>
        <w:t> Modifíquese el Artículo 356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356. Desarrollo de la audiencia preparatoria. En desarrollo de la audiencia el juez dispondrá:</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Que el acusado manifieste si acepta o no los cargos. En el primer caso se procederá a dictar sentencia reduciendo hasta en la tercera parte la pena a imponer, conforme lo previsto en el artículo 354. En el segundo caso se continuará con el trámite ordinario.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Que las partes</w:t>
      </w:r>
      <w:r w:rsidRPr="00FA7E5C">
        <w:rPr>
          <w:rFonts w:ascii="Times New Roman" w:hAnsi="Times New Roman" w:cs="Times New Roman"/>
          <w:sz w:val="24"/>
          <w:szCs w:val="24"/>
          <w:u w:val="single"/>
        </w:rPr>
        <w:t> y las víctimas </w:t>
      </w:r>
      <w:r w:rsidRPr="00FA7E5C">
        <w:rPr>
          <w:rFonts w:ascii="Times New Roman" w:hAnsi="Times New Roman" w:cs="Times New Roman"/>
          <w:sz w:val="24"/>
          <w:szCs w:val="24"/>
        </w:rPr>
        <w:t>manifiesten sus observaciones pertinentes al procedimiento de descubrimiento de elementos probatorios, en especial, si el efectuado fuera de la sede de la audiencia de formulación de acusación ha quedado completo. Si no lo estuviere, el juez lo rechazará.</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3. Que la defensa descubra sus elementos materiales probatorios y evidencia física.</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4. Que la Fiscalía y la defensa enuncien la totalidad de las pruebas que harán valer en la audiencia del juicio oral y público.</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5. Que las partes manifiesten si tienen interés en hacer estipulaciones probatorias. En este caso decretará un receso por el término de una (1) hora, al cabo de la cual se reanudará la audiencia para que la Fiscalía y la defensa se manifiesten al respecto.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Se entiende por estipulaciones probatorias los acuerdos celebrados entre la Fiscalía y la defensa para aceptar como probados alguno o algunos de los hechos o sus circunstancias.</w:t>
      </w:r>
    </w:p>
    <w:p w:rsidR="00600D79" w:rsidRPr="00FA7E5C" w:rsidRDefault="00600D79" w:rsidP="00600D79">
      <w:pPr>
        <w:pStyle w:val="Sinespaciado"/>
        <w:jc w:val="both"/>
        <w:rPr>
          <w:rFonts w:ascii="Times New Roman" w:hAnsi="Times New Roman" w:cs="Times New Roman"/>
          <w:b/>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2</w:t>
      </w:r>
      <w:r w:rsidRPr="00FA7E5C">
        <w:rPr>
          <w:rFonts w:ascii="Times New Roman" w:hAnsi="Times New Roman" w:cs="Times New Roman"/>
          <w:sz w:val="24"/>
          <w:szCs w:val="24"/>
          <w:u w:val="single"/>
        </w:rPr>
        <w:t>. Salvo lo relacionado con la falta de descubrimiento de los elementos materiales probatorios, cualquier solicitud que se haga en la audiencia preparatoria, deberá ser resuelta por el juez al momento de decidir sobre las solicitudes probatorias de las partes e intervinientes.”</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66</w:t>
      </w:r>
      <w:r w:rsidRPr="00FA7E5C">
        <w:rPr>
          <w:rFonts w:ascii="Times New Roman" w:hAnsi="Times New Roman" w:cs="Times New Roman"/>
          <w:sz w:val="24"/>
          <w:szCs w:val="24"/>
        </w:rPr>
        <w:t>. Modifíquese el Artículo 357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357. Solicitudes probatorias. Durante la audiencia el juez dará la palabra a la Fiscalía</w:t>
      </w:r>
      <w:r w:rsidRPr="00FA7E5C">
        <w:rPr>
          <w:rFonts w:ascii="Times New Roman" w:hAnsi="Times New Roman" w:cs="Times New Roman"/>
          <w:sz w:val="24"/>
          <w:szCs w:val="24"/>
          <w:u w:val="single"/>
        </w:rPr>
        <w:t xml:space="preserve">, a la víctima </w:t>
      </w:r>
      <w:r w:rsidRPr="00FA7E5C">
        <w:rPr>
          <w:rFonts w:ascii="Times New Roman" w:hAnsi="Times New Roman" w:cs="Times New Roman"/>
          <w:sz w:val="24"/>
          <w:szCs w:val="24"/>
        </w:rPr>
        <w:t>y a la defensa para que soliciten las pruebas que requieran para sustentar su pretensión.</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decretará la práctica de las pruebas solicitadas cuando ellas se refieran a los hechos de la acusación que requieran prueba, de acuerdo con las reglas de pertinencia y admisibilidad previstas en este código.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Las partes pueden probar sus pretensiones a través de los medios lícitos que libremente decidan para que sean debidamente aducidos al proceso.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Excepcionalmente, agotadas las solicitudes probatorias de las partes, si el Ministerio Público tuviere conocimiento de la existencia de una prueba no pedida por estas que pudiere tener esencial influencia en los resultados del juicio, solicitará su práctica.</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1.</w:t>
      </w:r>
      <w:r w:rsidRPr="00FA7E5C">
        <w:rPr>
          <w:rFonts w:ascii="Times New Roman" w:hAnsi="Times New Roman" w:cs="Times New Roman"/>
          <w:sz w:val="24"/>
          <w:szCs w:val="24"/>
          <w:u w:val="single"/>
        </w:rPr>
        <w:t xml:space="preserve"> La práctica de las pruebas solicitadas por la víctima se hará, en el juicio, a través de la Fiscalía.</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2.</w:t>
      </w:r>
      <w:r w:rsidRPr="00FA7E5C">
        <w:rPr>
          <w:rFonts w:ascii="Times New Roman" w:hAnsi="Times New Roman" w:cs="Times New Roman"/>
          <w:sz w:val="24"/>
          <w:szCs w:val="24"/>
          <w:u w:val="single"/>
        </w:rPr>
        <w:t xml:space="preserve"> Si existe incompatibilidad entre la práctica de las pruebas de la Fiscalía y la de la víctima, prevalecerá la petición de la primera por tratarse del titular de la acción penal.”</w:t>
      </w:r>
    </w:p>
    <w:p w:rsidR="00932DA4"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 </w:t>
      </w:r>
    </w:p>
    <w:p w:rsidR="00932DA4" w:rsidRPr="00FA7E5C" w:rsidRDefault="00932DA4" w:rsidP="00600D79">
      <w:pPr>
        <w:pStyle w:val="Sinespaciado"/>
        <w:jc w:val="both"/>
        <w:rPr>
          <w:rFonts w:ascii="Times New Roman" w:hAnsi="Times New Roman" w:cs="Times New Roman"/>
          <w:sz w:val="24"/>
          <w:szCs w:val="24"/>
        </w:rPr>
      </w:pPr>
    </w:p>
    <w:p w:rsidR="00932DA4" w:rsidRPr="00FA7E5C" w:rsidRDefault="00932DA4"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67</w:t>
      </w:r>
      <w:r w:rsidRPr="00FA7E5C">
        <w:rPr>
          <w:rFonts w:ascii="Times New Roman" w:hAnsi="Times New Roman" w:cs="Times New Roman"/>
          <w:sz w:val="24"/>
          <w:szCs w:val="24"/>
        </w:rPr>
        <w:t>. Modifíquese el Artículo 358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358. Exhibición de los elementos materiales de prueba. A solicitud de las partes o de </w:t>
      </w:r>
      <w:r w:rsidRPr="00FA7E5C">
        <w:rPr>
          <w:rFonts w:ascii="Times New Roman" w:hAnsi="Times New Roman" w:cs="Times New Roman"/>
          <w:sz w:val="24"/>
          <w:szCs w:val="24"/>
          <w:u w:val="single"/>
        </w:rPr>
        <w:t>la víctima</w:t>
      </w:r>
      <w:r w:rsidRPr="00FA7E5C">
        <w:rPr>
          <w:rFonts w:ascii="Times New Roman" w:hAnsi="Times New Roman" w:cs="Times New Roman"/>
          <w:sz w:val="24"/>
          <w:szCs w:val="24"/>
        </w:rPr>
        <w:t>, los elementos materiales probatorios y la evidencia física podrán ser exhibidos durante la audiencia con el único fin de ser conocidos y estudiados.”</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68</w:t>
      </w:r>
      <w:r w:rsidRPr="00FA7E5C">
        <w:rPr>
          <w:rFonts w:ascii="Times New Roman" w:hAnsi="Times New Roman" w:cs="Times New Roman"/>
          <w:sz w:val="24"/>
          <w:szCs w:val="24"/>
        </w:rPr>
        <w:t>. Modifíquese el Artículo 359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“Artículo 359. Exclusión, rechazo e</w:t>
      </w:r>
      <w:r w:rsidRPr="00FA7E5C">
        <w:rPr>
          <w:rFonts w:ascii="Times New Roman" w:hAnsi="Times New Roman" w:cs="Times New Roman"/>
          <w:sz w:val="24"/>
          <w:szCs w:val="24"/>
          <w:u w:val="single"/>
        </w:rPr>
        <w:t xml:space="preserve"> inadmisión </w:t>
      </w:r>
      <w:r w:rsidRPr="00FA7E5C">
        <w:rPr>
          <w:rFonts w:ascii="Times New Roman" w:hAnsi="Times New Roman" w:cs="Times New Roman"/>
          <w:sz w:val="24"/>
          <w:szCs w:val="24"/>
        </w:rPr>
        <w:t>de los medios de prueba. </w:t>
      </w:r>
      <w:r w:rsidRPr="00FA7E5C">
        <w:rPr>
          <w:rFonts w:ascii="Times New Roman" w:hAnsi="Times New Roman" w:cs="Times New Roman"/>
          <w:sz w:val="24"/>
          <w:szCs w:val="24"/>
          <w:u w:val="single"/>
        </w:rPr>
        <w:t>A petición de parte, de la víctima o del Ministerio Público se podrá decretar la exclusión, el rechazo o la inadmisión</w:t>
      </w:r>
      <w:r w:rsidRPr="00FA7E5C">
        <w:rPr>
          <w:rFonts w:ascii="Times New Roman" w:hAnsi="Times New Roman" w:cs="Times New Roman"/>
          <w:sz w:val="24"/>
          <w:szCs w:val="24"/>
        </w:rPr>
        <w:t xml:space="preserve"> de los medios de prueba que, de conformidad con las reglas establecidas en este Código, resulten inadmisibles, impertinentes, inútiles, repetitivos o encaminados a probar hechos notorios o que por otro motivo no requieran prueba.</w:t>
      </w:r>
      <w:r w:rsidRPr="00FA7E5C">
        <w:rPr>
          <w:rFonts w:ascii="Times New Roman" w:hAnsi="Times New Roman" w:cs="Times New Roman"/>
          <w:sz w:val="24"/>
          <w:szCs w:val="24"/>
          <w:u w:val="single"/>
        </w:rPr>
        <w:t>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Igualmente inadmitirá los medios de prueba que se refieran a las conversaciones que haya tenido la fiscalía con el imputado, acusado o su defensor en desarrollo de manifestaciones </w:t>
      </w:r>
      <w:proofErr w:type="spellStart"/>
      <w:r w:rsidRPr="00FA7E5C">
        <w:rPr>
          <w:rFonts w:ascii="Times New Roman" w:hAnsi="Times New Roman" w:cs="Times New Roman"/>
          <w:sz w:val="24"/>
          <w:szCs w:val="24"/>
        </w:rPr>
        <w:t>preacordadas</w:t>
      </w:r>
      <w:proofErr w:type="spellEnd"/>
      <w:r w:rsidRPr="00FA7E5C">
        <w:rPr>
          <w:rFonts w:ascii="Times New Roman" w:hAnsi="Times New Roman" w:cs="Times New Roman"/>
          <w:sz w:val="24"/>
          <w:szCs w:val="24"/>
        </w:rPr>
        <w:t>, suspensiones condicionales y aplicación del principio de oportunidad, a menos que el imputado, acusado o su defensor consientan en ello.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La decisión del juez sobre el decreto de pruebas deberá ser motivada en la audiencia y contra esta procederán los recursos ordinarios.”</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69.</w:t>
      </w:r>
      <w:r w:rsidRPr="00FA7E5C">
        <w:rPr>
          <w:rFonts w:ascii="Times New Roman" w:hAnsi="Times New Roman" w:cs="Times New Roman"/>
          <w:sz w:val="24"/>
          <w:szCs w:val="24"/>
        </w:rPr>
        <w:t xml:space="preserve"> Modifíquese el Artículo 362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“Artículo 362. Decisión sobre el orden de la presentación de la prueba.</w:t>
      </w:r>
      <w:r w:rsidRPr="00FA7E5C">
        <w:rPr>
          <w:rFonts w:ascii="Times New Roman" w:hAnsi="Times New Roman" w:cs="Times New Roman"/>
          <w:sz w:val="24"/>
          <w:szCs w:val="24"/>
          <w:u w:val="single"/>
        </w:rPr>
        <w:t> Las partes decidirán autónomamente respecto del orden en que presentará su prueba en el juicio. </w:t>
      </w:r>
      <w:r w:rsidRPr="00FA7E5C">
        <w:rPr>
          <w:rFonts w:ascii="Times New Roman" w:hAnsi="Times New Roman" w:cs="Times New Roman"/>
          <w:sz w:val="24"/>
          <w:szCs w:val="24"/>
        </w:rPr>
        <w:t>En todo caso, la prueba de la Fiscalía tendrá lugar antes que la de la defensa, sin perjuicio de la presentación de las respectivas pruebas de refutación en cuyo caso serán primero las ofrecidas por la defensa, luego las de la Fiscalía </w:t>
      </w:r>
      <w:r w:rsidRPr="00FA7E5C">
        <w:rPr>
          <w:rFonts w:ascii="Times New Roman" w:hAnsi="Times New Roman" w:cs="Times New Roman"/>
          <w:sz w:val="24"/>
          <w:szCs w:val="24"/>
          <w:u w:val="single"/>
        </w:rPr>
        <w:t>y la víctima.”</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70.</w:t>
      </w:r>
      <w:r w:rsidRPr="00FA7E5C">
        <w:rPr>
          <w:rFonts w:ascii="Times New Roman" w:hAnsi="Times New Roman" w:cs="Times New Roman"/>
          <w:sz w:val="24"/>
          <w:szCs w:val="24"/>
        </w:rPr>
        <w:t xml:space="preserve"> El Código de Procedimiento Penal tendrá un nuevo artículo 362A, del siguiente tenor:</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 362 A. Prueba de refutación. La prueba de refutación se someterá a las siguientes reglas:</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numPr>
          <w:ilvl w:val="0"/>
          <w:numId w:val="33"/>
        </w:numPr>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Solo podrá ser solicitada por la Fiscalía o la defensa. </w:t>
      </w:r>
    </w:p>
    <w:p w:rsidR="00600D79" w:rsidRPr="00FA7E5C" w:rsidRDefault="00600D79" w:rsidP="00600D79">
      <w:pPr>
        <w:pStyle w:val="Sinespaciado"/>
        <w:numPr>
          <w:ilvl w:val="0"/>
          <w:numId w:val="33"/>
        </w:numPr>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Debe ser pertinente, admisible y disponible con relación a la prueba a refutar. </w:t>
      </w:r>
    </w:p>
    <w:p w:rsidR="00600D79" w:rsidRPr="00FA7E5C" w:rsidRDefault="00600D79" w:rsidP="00600D79">
      <w:pPr>
        <w:pStyle w:val="Sinespaciado"/>
        <w:numPr>
          <w:ilvl w:val="0"/>
          <w:numId w:val="33"/>
        </w:numPr>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Su finalidad es refutar, contradecir o contraprobar evidencia cierta y concreta ofrecida por la contraparte. </w:t>
      </w:r>
    </w:p>
    <w:p w:rsidR="00600D79" w:rsidRPr="00FA7E5C" w:rsidRDefault="00600D79" w:rsidP="00600D79">
      <w:pPr>
        <w:pStyle w:val="Sinespaciado"/>
        <w:numPr>
          <w:ilvl w:val="0"/>
          <w:numId w:val="33"/>
        </w:numPr>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Quien solicite prueba de refutación debe demostrar que la prueba por refutar no era conocida ni razonablemente </w:t>
      </w:r>
      <w:proofErr w:type="spellStart"/>
      <w:r w:rsidRPr="00FA7E5C">
        <w:rPr>
          <w:rFonts w:ascii="Times New Roman" w:hAnsi="Times New Roman" w:cs="Times New Roman"/>
          <w:sz w:val="24"/>
          <w:szCs w:val="24"/>
          <w:u w:val="single"/>
        </w:rPr>
        <w:t>anticipable</w:t>
      </w:r>
      <w:proofErr w:type="spellEnd"/>
      <w:r w:rsidRPr="00FA7E5C">
        <w:rPr>
          <w:rFonts w:ascii="Times New Roman" w:hAnsi="Times New Roman" w:cs="Times New Roman"/>
          <w:sz w:val="24"/>
          <w:szCs w:val="24"/>
          <w:u w:val="single"/>
        </w:rPr>
        <w:t xml:space="preserve"> al momento de la audiencia preparatoria. </w:t>
      </w:r>
    </w:p>
    <w:p w:rsidR="00600D79" w:rsidRPr="00FA7E5C" w:rsidRDefault="00600D79" w:rsidP="00600D79">
      <w:pPr>
        <w:pStyle w:val="Sinespaciado"/>
        <w:numPr>
          <w:ilvl w:val="0"/>
          <w:numId w:val="33"/>
        </w:numPr>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La providencia que resuelve sobre la prueba de refutación admite el recurso de apelación en el efecto devolutivo, a menos que se hayan practicado todas las pruebas decretadas en la audiencia preparatoria, en cuyo caso, la apelación se concederá en el efecto suspensivo. </w:t>
      </w:r>
    </w:p>
    <w:p w:rsidR="00600D79" w:rsidRPr="00FA7E5C" w:rsidRDefault="00600D79" w:rsidP="00600D79">
      <w:pPr>
        <w:pStyle w:val="Sinespaciado"/>
        <w:numPr>
          <w:ilvl w:val="0"/>
          <w:numId w:val="33"/>
        </w:numPr>
        <w:jc w:val="both"/>
        <w:rPr>
          <w:rFonts w:ascii="Times New Roman" w:hAnsi="Times New Roman" w:cs="Times New Roman"/>
          <w:sz w:val="24"/>
          <w:szCs w:val="24"/>
          <w:u w:val="single"/>
        </w:rPr>
      </w:pPr>
      <w:r w:rsidRPr="00FA7E5C">
        <w:rPr>
          <w:rFonts w:ascii="Times New Roman" w:hAnsi="Times New Roman" w:cs="Times New Roman"/>
          <w:sz w:val="24"/>
          <w:szCs w:val="24"/>
          <w:u w:val="single"/>
        </w:rPr>
        <w:t>Quien solicite una prueba de refutación ostensiblemente infundada, será sancionado con multa de uno (1) a diez (10) salarios mínimos legales mensuales vigentes.</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71.</w:t>
      </w:r>
      <w:r w:rsidRPr="00FA7E5C">
        <w:rPr>
          <w:rFonts w:ascii="Times New Roman" w:hAnsi="Times New Roman" w:cs="Times New Roman"/>
          <w:sz w:val="24"/>
          <w:szCs w:val="24"/>
        </w:rPr>
        <w:t xml:space="preserve"> El Código de Procedimiento Penal tendrá un nuevo artículo 362B, del siguiente tenor:</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 362 B. Prueba de contra refutación. La parte distinta a quien haya solicitado prueba de refutación podrá solicitar prueba de contra refutación sujeta a las exigencias previstas para la prueba de refutación. ”</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 xml:space="preserve">ARTÍCULO 72. </w:t>
      </w:r>
      <w:r w:rsidRPr="00FA7E5C">
        <w:rPr>
          <w:rFonts w:ascii="Times New Roman" w:hAnsi="Times New Roman" w:cs="Times New Roman"/>
          <w:sz w:val="24"/>
          <w:szCs w:val="24"/>
        </w:rPr>
        <w:t>Modifíquese el Artículo 363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363. Suspensión. La audiencia preparatoria, además de lo previsto en este Código, según proceda, solamente podrá suspenderse:</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1. Por el trámite de la apelación de las decisiones relativas a las pruebas, la audiencia se suspenderá hasta que el superior jerárquico profiera su decisión.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2. Por circunstancias de fuerza mayor o caso fortuito debidamente acreditadas, siempre que no puedan remediarse sin suspender la audiencia.</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w:t>
      </w:r>
      <w:r w:rsidRPr="00FA7E5C">
        <w:rPr>
          <w:rFonts w:ascii="Times New Roman" w:hAnsi="Times New Roman" w:cs="Times New Roman"/>
          <w:sz w:val="24"/>
          <w:szCs w:val="24"/>
          <w:u w:val="single"/>
        </w:rPr>
        <w:t xml:space="preserve"> Excepcionalmente, la Fiscalía y las víctimas podrán solicitar un receso o la suspensión de la audiencia para analizar el descubrimiento probatorio realizado por la defensa en esta audiencia. Lo anterior únicamente será autorizado por el juez en aquellos casos en que sea necesario, teniendo en cuenta el volumen de los elementos materiales probatorios que se deban analizar.”</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lang w:eastAsia="es-CO"/>
        </w:rPr>
      </w:pPr>
      <w:r w:rsidRPr="00FA7E5C">
        <w:rPr>
          <w:rFonts w:ascii="Times New Roman" w:hAnsi="Times New Roman" w:cs="Times New Roman"/>
          <w:b/>
          <w:sz w:val="24"/>
          <w:szCs w:val="24"/>
        </w:rPr>
        <w:t>ARTÍCULO 73</w:t>
      </w:r>
      <w:r w:rsidRPr="00FA7E5C">
        <w:rPr>
          <w:rFonts w:ascii="Times New Roman" w:hAnsi="Times New Roman" w:cs="Times New Roman"/>
          <w:sz w:val="24"/>
          <w:szCs w:val="24"/>
        </w:rPr>
        <w:t>. Modifíquese el Artículo 429 de la Ley 906 de 2004, el cual quedará así:</w:t>
      </w:r>
    </w:p>
    <w:p w:rsidR="00600D79" w:rsidRPr="00FA7E5C" w:rsidRDefault="00600D79" w:rsidP="00600D79">
      <w:pPr>
        <w:pStyle w:val="Sinespaciado"/>
        <w:jc w:val="both"/>
        <w:rPr>
          <w:rFonts w:ascii="Times New Roman" w:hAnsi="Times New Roman" w:cs="Times New Roman"/>
          <w:sz w:val="24"/>
          <w:szCs w:val="24"/>
          <w:lang w:eastAsia="es-CO"/>
        </w:rPr>
      </w:pPr>
    </w:p>
    <w:p w:rsidR="00600D79" w:rsidRPr="00FA7E5C" w:rsidRDefault="00600D79" w:rsidP="00600D79">
      <w:pPr>
        <w:pStyle w:val="Sinespaciad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lastRenderedPageBreak/>
        <w:t>“Artículo 429. Presentación de documentos. El documento podrá presentarse en original, o en copia autenticada, cuando lo primero no fuese posible o causare grave perjuicio a su poseedor</w:t>
      </w:r>
    </w:p>
    <w:p w:rsidR="00600D79" w:rsidRPr="00FA7E5C" w:rsidRDefault="00600D79" w:rsidP="00600D79">
      <w:pPr>
        <w:pStyle w:val="Sinespaciado"/>
        <w:jc w:val="both"/>
        <w:rPr>
          <w:rFonts w:ascii="Times New Roman" w:hAnsi="Times New Roman" w:cs="Times New Roman"/>
          <w:sz w:val="24"/>
          <w:szCs w:val="24"/>
          <w:lang w:eastAsia="es-CO"/>
        </w:rPr>
      </w:pPr>
    </w:p>
    <w:p w:rsidR="00600D79" w:rsidRPr="00FA7E5C" w:rsidRDefault="00600D79" w:rsidP="00600D79">
      <w:pPr>
        <w:pStyle w:val="Sinespaciado"/>
        <w:jc w:val="both"/>
        <w:rPr>
          <w:rFonts w:ascii="Times New Roman" w:hAnsi="Times New Roman" w:cs="Times New Roman"/>
          <w:sz w:val="24"/>
          <w:szCs w:val="24"/>
          <w:u w:val="single"/>
          <w:lang w:eastAsia="es-CO"/>
        </w:rPr>
      </w:pPr>
      <w:r w:rsidRPr="00FA7E5C">
        <w:rPr>
          <w:rFonts w:ascii="Times New Roman" w:hAnsi="Times New Roman" w:cs="Times New Roman"/>
          <w:sz w:val="24"/>
          <w:szCs w:val="24"/>
          <w:lang w:eastAsia="es-CO"/>
        </w:rPr>
        <w:t>El documento podrá ser ingresado por uno de los investigadores que participaron en el caso o por el investigador que recolectó o recibió el elemento material probatorio o evidencia física.</w:t>
      </w:r>
    </w:p>
    <w:p w:rsidR="00600D79" w:rsidRPr="00FA7E5C" w:rsidRDefault="00600D79" w:rsidP="00600D79">
      <w:pPr>
        <w:pStyle w:val="Sinespaciado"/>
        <w:jc w:val="both"/>
        <w:rPr>
          <w:rFonts w:ascii="Times New Roman" w:hAnsi="Times New Roman" w:cs="Times New Roman"/>
          <w:sz w:val="24"/>
          <w:szCs w:val="24"/>
          <w:u w:val="single"/>
          <w:lang w:eastAsia="es-CO"/>
        </w:rPr>
      </w:pPr>
    </w:p>
    <w:p w:rsidR="00600D79" w:rsidRPr="00FA7E5C" w:rsidRDefault="00600D79" w:rsidP="00600D79">
      <w:pPr>
        <w:pStyle w:val="Sinespaciado"/>
        <w:jc w:val="both"/>
        <w:rPr>
          <w:rFonts w:ascii="Times New Roman" w:hAnsi="Times New Roman" w:cs="Times New Roman"/>
          <w:sz w:val="24"/>
          <w:szCs w:val="24"/>
          <w:u w:val="single"/>
          <w:lang w:eastAsia="es-CO"/>
        </w:rPr>
      </w:pPr>
      <w:r w:rsidRPr="00FA7E5C">
        <w:rPr>
          <w:rFonts w:ascii="Times New Roman" w:hAnsi="Times New Roman" w:cs="Times New Roman"/>
          <w:sz w:val="24"/>
          <w:szCs w:val="24"/>
          <w:u w:val="single"/>
          <w:lang w:eastAsia="es-CO"/>
        </w:rPr>
        <w:t>Los documentos públicos, se presumirán auténticos y para la introducción de los mismos, no se requerirá testigo de acreditación.”</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74</w:t>
      </w:r>
      <w:r w:rsidRPr="00FA7E5C">
        <w:rPr>
          <w:rFonts w:ascii="Times New Roman" w:hAnsi="Times New Roman" w:cs="Times New Roman"/>
          <w:sz w:val="24"/>
          <w:szCs w:val="24"/>
        </w:rPr>
        <w:t>. Modifíquese el artículo 431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lang w:eastAsia="es-CO"/>
        </w:rPr>
      </w:pPr>
      <w:r w:rsidRPr="00FA7E5C">
        <w:rPr>
          <w:rFonts w:ascii="Times New Roman" w:hAnsi="Times New Roman" w:cs="Times New Roman"/>
          <w:sz w:val="24"/>
          <w:szCs w:val="24"/>
          <w:u w:val="single"/>
          <w:lang w:eastAsia="es-CO"/>
        </w:rPr>
        <w:t>“Artículo 431. Empleo de los documentos en el juicio. Los documentos serán exhibidos, leídos o proyectados de modo que todos los intervinientes en la audiencia del juicio oral y público puedan conocer su forma y contenido.</w:t>
      </w:r>
    </w:p>
    <w:p w:rsidR="00600D79" w:rsidRPr="00FA7E5C" w:rsidRDefault="00600D79" w:rsidP="00600D79">
      <w:pPr>
        <w:pStyle w:val="Sinespaciado"/>
        <w:jc w:val="both"/>
        <w:rPr>
          <w:rFonts w:ascii="Times New Roman" w:hAnsi="Times New Roman" w:cs="Times New Roman"/>
          <w:sz w:val="24"/>
          <w:szCs w:val="24"/>
          <w:u w:val="single"/>
          <w:lang w:eastAsia="es-CO"/>
        </w:rPr>
      </w:pPr>
    </w:p>
    <w:p w:rsidR="00600D79" w:rsidRPr="00FA7E5C" w:rsidRDefault="00600D79" w:rsidP="00600D79">
      <w:pPr>
        <w:pStyle w:val="Sinespaciado"/>
        <w:jc w:val="both"/>
        <w:rPr>
          <w:rFonts w:ascii="Times New Roman" w:hAnsi="Times New Roman" w:cs="Times New Roman"/>
          <w:sz w:val="24"/>
          <w:szCs w:val="24"/>
          <w:u w:val="single"/>
          <w:lang w:eastAsia="es-CO"/>
        </w:rPr>
      </w:pPr>
      <w:r w:rsidRPr="00FA7E5C">
        <w:rPr>
          <w:rFonts w:ascii="Times New Roman" w:hAnsi="Times New Roman" w:cs="Times New Roman"/>
          <w:sz w:val="24"/>
          <w:szCs w:val="24"/>
          <w:u w:val="single"/>
          <w:lang w:eastAsia="es-CO"/>
        </w:rPr>
        <w:t>La exhibición, lectura o proyección de los documentos se circunscribirá a los hechos concretos respecto de los que el juez haya considerado pertinentes, conducentes y necesarias al momento de decretar la prueba. Los sujetos procesales e intervinientes respecto de los cuales el juez no haya decretado la lectura, proyección o exhibición del documento, limitarán su contrainterrogatorio a los aspectos planteados por la parte en favor de quien se decretó la prueba.</w:t>
      </w:r>
    </w:p>
    <w:p w:rsidR="00600D79" w:rsidRPr="00FA7E5C" w:rsidRDefault="00600D79" w:rsidP="00600D79">
      <w:pPr>
        <w:pStyle w:val="Sinespaciado"/>
        <w:jc w:val="both"/>
        <w:rPr>
          <w:rFonts w:ascii="Times New Roman" w:hAnsi="Times New Roman" w:cs="Times New Roman"/>
          <w:sz w:val="24"/>
          <w:szCs w:val="24"/>
          <w:u w:val="single"/>
          <w:lang w:eastAsia="es-CO"/>
        </w:rPr>
      </w:pPr>
    </w:p>
    <w:p w:rsidR="00600D79" w:rsidRPr="00FA7E5C" w:rsidRDefault="00600D79" w:rsidP="00600D79">
      <w:pPr>
        <w:pStyle w:val="Sinespaciado"/>
        <w:jc w:val="both"/>
        <w:rPr>
          <w:rFonts w:ascii="Times New Roman" w:hAnsi="Times New Roman" w:cs="Times New Roman"/>
          <w:sz w:val="24"/>
          <w:szCs w:val="24"/>
          <w:u w:val="single"/>
          <w:lang w:eastAsia="es-CO"/>
        </w:rPr>
      </w:pPr>
      <w:r w:rsidRPr="00FA7E5C">
        <w:rPr>
          <w:rFonts w:ascii="Times New Roman" w:hAnsi="Times New Roman" w:cs="Times New Roman"/>
          <w:sz w:val="24"/>
          <w:szCs w:val="24"/>
          <w:u w:val="single"/>
          <w:lang w:eastAsia="es-CO"/>
        </w:rPr>
        <w:t>Cuando se requiera, el experto respectivo lo explicará. Este podrá ser interrogado y contrainterrogado como un perito.”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75</w:t>
      </w:r>
      <w:r w:rsidRPr="00FA7E5C">
        <w:rPr>
          <w:rFonts w:ascii="Times New Roman" w:hAnsi="Times New Roman" w:cs="Times New Roman"/>
          <w:sz w:val="24"/>
          <w:szCs w:val="24"/>
        </w:rPr>
        <w:t>. Modifíquese el Artículo 432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“Artículo 432. Apreciación de la prueba documental. El juez apreciará el documento teniendo en cuenta los siguientes criterios:</w:t>
      </w:r>
    </w:p>
    <w:p w:rsidR="00600D79" w:rsidRPr="00FA7E5C" w:rsidRDefault="00600D79" w:rsidP="00600D79">
      <w:pPr>
        <w:pStyle w:val="Sinespaciado"/>
        <w:jc w:val="both"/>
        <w:rPr>
          <w:rFonts w:ascii="Times New Roman" w:hAnsi="Times New Roman" w:cs="Times New Roman"/>
          <w:sz w:val="24"/>
          <w:szCs w:val="24"/>
          <w:lang w:eastAsia="es-CO"/>
        </w:rPr>
      </w:pPr>
    </w:p>
    <w:p w:rsidR="00600D79" w:rsidRPr="00FA7E5C" w:rsidRDefault="00600D79" w:rsidP="00600D79">
      <w:pPr>
        <w:pStyle w:val="Sinespaciad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1. Que no haya sido alterado en su forma ni en su contenido.</w:t>
      </w:r>
    </w:p>
    <w:p w:rsidR="00600D79" w:rsidRPr="00FA7E5C" w:rsidRDefault="00600D79" w:rsidP="00600D79">
      <w:pPr>
        <w:pStyle w:val="Sinespaciad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2. Que permita obtener un conocimiento claro y preciso del hecho, declaración o atestación de verdad, que constituye su contenido.</w:t>
      </w:r>
    </w:p>
    <w:p w:rsidR="00600D79" w:rsidRPr="00FA7E5C" w:rsidRDefault="00600D79" w:rsidP="00600D79">
      <w:pPr>
        <w:pStyle w:val="Sinespaciad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3. Que dicho contenido sea conforme con lo que ordinariamente ocurre</w:t>
      </w:r>
      <w:r w:rsidRPr="00FA7E5C">
        <w:rPr>
          <w:rFonts w:ascii="Times New Roman" w:hAnsi="Times New Roman" w:cs="Times New Roman"/>
          <w:sz w:val="24"/>
          <w:szCs w:val="24"/>
        </w:rPr>
        <w:t>”</w:t>
      </w:r>
      <w:r w:rsidRPr="00FA7E5C">
        <w:rPr>
          <w:rFonts w:ascii="Times New Roman" w:hAnsi="Times New Roman" w:cs="Times New Roman"/>
          <w:sz w:val="24"/>
          <w:szCs w:val="24"/>
          <w:lang w:eastAsia="es-CO"/>
        </w:rPr>
        <w:t>.</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76.</w:t>
      </w:r>
      <w:r w:rsidRPr="00FA7E5C">
        <w:rPr>
          <w:rFonts w:ascii="Times New Roman" w:hAnsi="Times New Roman" w:cs="Times New Roman"/>
          <w:sz w:val="24"/>
          <w:szCs w:val="24"/>
        </w:rPr>
        <w:t xml:space="preserve"> Modifíquese el Artículo 447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447. Individualización de la pena y sentencia. Si el fallo fuere condenatorio, o si fueren aceptados los cargos de manera unilateral por parte del imputado o acusado, o el acuerdo celebrado con la Fiscalía, el juez concederá brevemente y por una sola vez la palabra al fiscal, </w:t>
      </w:r>
      <w:r w:rsidRPr="00FA7E5C">
        <w:rPr>
          <w:rFonts w:ascii="Times New Roman" w:hAnsi="Times New Roman" w:cs="Times New Roman"/>
          <w:sz w:val="24"/>
          <w:szCs w:val="24"/>
          <w:u w:val="single"/>
        </w:rPr>
        <w:t>a la víctima</w:t>
      </w:r>
      <w:r w:rsidRPr="00FA7E5C">
        <w:rPr>
          <w:rFonts w:ascii="Times New Roman" w:hAnsi="Times New Roman" w:cs="Times New Roman"/>
          <w:sz w:val="24"/>
          <w:szCs w:val="24"/>
        </w:rPr>
        <w:t xml:space="preserve"> y, por último, a la defensa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w:t>
      </w:r>
      <w:r w:rsidRPr="00FA7E5C">
        <w:rPr>
          <w:rFonts w:ascii="Times New Roman" w:hAnsi="Times New Roman" w:cs="Times New Roman"/>
          <w:sz w:val="24"/>
          <w:szCs w:val="24"/>
        </w:rPr>
        <w:lastRenderedPageBreak/>
        <w:t>consideraren conveniente, podrán referirse a la probable determinación de pena aplicable y la concesión de algún subrogado.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Código.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Si el juez para individualizar la pena por imponer, estimare necesario ampliar la información a que se refieren los incisos anteriores, podrá solicitar a cualquier institución pública o privada, la designación de un experto para que este, en el término improrrogable de diez (10) días hábiles, responda su petición.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Escuchados los </w:t>
      </w:r>
      <w:r w:rsidRPr="00FA7E5C">
        <w:rPr>
          <w:rFonts w:ascii="Times New Roman" w:hAnsi="Times New Roman" w:cs="Times New Roman"/>
          <w:sz w:val="24"/>
          <w:szCs w:val="24"/>
          <w:u w:val="single"/>
        </w:rPr>
        <w:t>intervinientes o una vez respondida la petición a la que hace referencia el inciso anterior, dentro del término estipulado, el juez contará con quince  (15) días calendario para proferir la sentencia y correr traslado escrito de la misma a las partes.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La sentencia se entenderá notificada con el traslado, para lo cual el juez citará a las partes a su despacho y hará entrega de la providencia. En caso de no comparecer a pesar de haberse hecho la citación oportunamente, se entenderá surtida la notificación salvo que la ausencia se justifique por fuerza mayor o caso fortuito.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Surtidas las notificaciones las partes contarán con diez (10) días para la presentación de los recursos que procedan contra la decisión de primera instancia. Estos se presentarán por escrito y se tramitarán conforme a lo dispuesto por el procedimiento ordinario.”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77.</w:t>
      </w:r>
      <w:r w:rsidRPr="00FA7E5C">
        <w:rPr>
          <w:rFonts w:ascii="Times New Roman" w:hAnsi="Times New Roman" w:cs="Times New Roman"/>
          <w:sz w:val="24"/>
          <w:szCs w:val="24"/>
        </w:rPr>
        <w:t xml:space="preserve"> Modifíquese el Artículo 450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“Artículo 450. Acusado no privado de la libertad. En los casos en que proceda la imposición de  la detención preventiva, si al momento de anunciar el sentido del fallo el acusado declarado culpable no se hallare detenido, el juez impondrá la medida privativa de la libertad para garantizar el fin previsto en el numeral 3 del artículo 308”.</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78.</w:t>
      </w:r>
      <w:r w:rsidRPr="00FA7E5C">
        <w:rPr>
          <w:rFonts w:ascii="Times New Roman" w:hAnsi="Times New Roman" w:cs="Times New Roman"/>
          <w:sz w:val="24"/>
          <w:szCs w:val="24"/>
        </w:rPr>
        <w:t xml:space="preserve"> Modifíquese el artículo 451 del Código de Procedimiento Penal,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“Artículo 451. Acusado privado de la libertad. Si al momento de anunciar el sentido del fallo el acusado es declarado culpable, y este estuviere privado de su libertad, el juez de conocimiento impondrá una nueva medida privativa de la libertad para garantizar el fin previsto en el numeral 3 del artículo 308.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El juez podrá ordenar su excarcelación siempre y cuando los cargos por los cuales fue encontrado culpable fueren susceptibles, al momento de dictar sentencia, del otorgamiento de un subrogado penal.”</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79.</w:t>
      </w:r>
      <w:r w:rsidRPr="00FA7E5C">
        <w:rPr>
          <w:rFonts w:ascii="Times New Roman" w:hAnsi="Times New Roman" w:cs="Times New Roman"/>
          <w:sz w:val="24"/>
          <w:szCs w:val="24"/>
        </w:rPr>
        <w:t> Modifíquese el Artículo 457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“Artículo 457. Nulidad por violación a garantías fundamentales. Es causal de nulidad la violación del derecho de defensa o del debido proceso en aspectos sustanciales.</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Los recursos de apelación pendientes de definición al momento de iniciarse el juicio público oral, salvo lo relacionado con la negativa o admisión de pruebas, no invalidan el procedimiento.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Cuando se dé exclusión probatoria en el marco del juicio oral con ocasión de que la prueba ilícita fue producto de tortura, desaparición forzada o ejecución extrajudicial, se declarará la nulidad del proceso y se enviará la actuación a otro juez para que lo continúe.”</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b/>
          <w:sz w:val="24"/>
          <w:szCs w:val="24"/>
          <w:u w:val="single"/>
        </w:rPr>
      </w:pPr>
      <w:r w:rsidRPr="00FA7E5C">
        <w:rPr>
          <w:rFonts w:ascii="Times New Roman" w:hAnsi="Times New Roman" w:cs="Times New Roman"/>
          <w:b/>
          <w:sz w:val="24"/>
          <w:szCs w:val="24"/>
        </w:rPr>
        <w:t xml:space="preserve">ARTÍCULO 80. </w:t>
      </w:r>
      <w:r w:rsidRPr="00FA7E5C">
        <w:rPr>
          <w:rFonts w:ascii="Times New Roman" w:hAnsi="Times New Roman" w:cs="Times New Roman"/>
          <w:sz w:val="24"/>
          <w:szCs w:val="24"/>
        </w:rPr>
        <w:t>Modifíquese el Artículo 518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518. Definiciones. Se entenderá por programa de justicia restaurativa todo proceso en el que la víctima</w:t>
      </w:r>
      <w:r w:rsidRPr="00FA7E5C">
        <w:rPr>
          <w:rFonts w:ascii="Times New Roman" w:hAnsi="Times New Roman" w:cs="Times New Roman"/>
          <w:sz w:val="24"/>
          <w:szCs w:val="24"/>
          <w:u w:val="single"/>
        </w:rPr>
        <w:t xml:space="preserve"> y el indiciado, </w:t>
      </w:r>
      <w:r w:rsidRPr="00FA7E5C">
        <w:rPr>
          <w:rFonts w:ascii="Times New Roman" w:hAnsi="Times New Roman" w:cs="Times New Roman"/>
          <w:sz w:val="24"/>
          <w:szCs w:val="24"/>
        </w:rPr>
        <w:t xml:space="preserve">imputado, acusado o sentenciado participan conjuntamente de forma activa en la resolución de cuestiones derivadas del delito en busca de un resultado restaurativo, con o sin la participación de un facilitador.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Se entiende por resultado restaurativo, el acuerdo encaminado a atender las necesidades y responsabilidades individuales y colectivas de las partes y a lograr la reintegración de la víctima y del infractor en la comunidad </w:t>
      </w:r>
      <w:r w:rsidRPr="00FA7E5C">
        <w:rPr>
          <w:rFonts w:ascii="Times New Roman" w:hAnsi="Times New Roman" w:cs="Times New Roman"/>
          <w:sz w:val="24"/>
          <w:szCs w:val="24"/>
          <w:u w:val="single"/>
        </w:rPr>
        <w:t>mediante la reparación individual o colectiva, que podrá comprender medidas de restitución, indemnización, rehabilitación, satisfacción, compensación y garantía de no repetición.”</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b/>
          <w:sz w:val="24"/>
          <w:szCs w:val="24"/>
        </w:rPr>
      </w:pPr>
      <w:r w:rsidRPr="00FA7E5C">
        <w:rPr>
          <w:rFonts w:ascii="Times New Roman" w:hAnsi="Times New Roman" w:cs="Times New Roman"/>
          <w:b/>
          <w:sz w:val="24"/>
          <w:szCs w:val="24"/>
        </w:rPr>
        <w:t xml:space="preserve">ARTÍCULO 81. </w:t>
      </w:r>
      <w:r w:rsidRPr="00FA7E5C">
        <w:rPr>
          <w:rFonts w:ascii="Times New Roman" w:hAnsi="Times New Roman" w:cs="Times New Roman"/>
          <w:sz w:val="24"/>
          <w:szCs w:val="24"/>
        </w:rPr>
        <w:t>Modifíquese el Artículo 519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519. Reglas generales. Los procesos de justicia restaurativa se regirán por los principios generales establecidos en el presente Código y, en particular, por las siguientes reglas:</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1</w:t>
      </w:r>
      <w:r w:rsidRPr="00FA7E5C">
        <w:rPr>
          <w:rFonts w:ascii="Times New Roman" w:hAnsi="Times New Roman" w:cs="Times New Roman"/>
          <w:sz w:val="24"/>
          <w:szCs w:val="24"/>
        </w:rPr>
        <w:t>. Consentimiento libre y voluntario de la víctima</w:t>
      </w:r>
      <w:r w:rsidRPr="00FA7E5C">
        <w:rPr>
          <w:rFonts w:ascii="Times New Roman" w:hAnsi="Times New Roman" w:cs="Times New Roman"/>
          <w:sz w:val="24"/>
          <w:szCs w:val="24"/>
          <w:u w:val="single"/>
        </w:rPr>
        <w:t xml:space="preserve"> y el indiciado, </w:t>
      </w:r>
      <w:r w:rsidRPr="00FA7E5C">
        <w:rPr>
          <w:rFonts w:ascii="Times New Roman" w:hAnsi="Times New Roman" w:cs="Times New Roman"/>
          <w:sz w:val="24"/>
          <w:szCs w:val="24"/>
        </w:rPr>
        <w:t>imputado, acusado o sentenciado de someter el conflicto a un proceso restaurativo.</w:t>
      </w:r>
      <w:r w:rsidRPr="00FA7E5C">
        <w:rPr>
          <w:rFonts w:ascii="Times New Roman" w:hAnsi="Times New Roman" w:cs="Times New Roman"/>
          <w:sz w:val="24"/>
          <w:szCs w:val="24"/>
          <w:u w:val="single"/>
        </w:rPr>
        <w:t xml:space="preserve"> Cualquiera de estas podrá retirar el consentimiento en cualquier momento de la actuación.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2. </w:t>
      </w:r>
      <w:r w:rsidRPr="00FA7E5C">
        <w:rPr>
          <w:rFonts w:ascii="Times New Roman" w:hAnsi="Times New Roman" w:cs="Times New Roman"/>
          <w:sz w:val="24"/>
          <w:szCs w:val="24"/>
        </w:rPr>
        <w:t>Los acuerdos que se alcancen deberán contener obligaciones razonables y proporcionales</w:t>
      </w:r>
      <w:r w:rsidRPr="00FA7E5C">
        <w:rPr>
          <w:rFonts w:ascii="Times New Roman" w:hAnsi="Times New Roman" w:cs="Times New Roman"/>
          <w:sz w:val="24"/>
          <w:szCs w:val="24"/>
          <w:u w:val="single"/>
        </w:rPr>
        <w:t xml:space="preserve"> al daño infligido y perjuicio ocasionado.</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3. La información que se conozca en los procesos de justicia restaurativa es confidencial.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4. La participación del indiciado, imputado, acusado o sentenciado no se utilizará como prueba de admisión de culpabilidad en procedimientos jurídicos ulteriores.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5. El incumplimiento de un acuerdo no deberá utilizarse como fundamento para una condena o para la agravación de la pena.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6. Los facilitadores deben desempeñar sus funciones de manera imparcial y velarán porque la víctima y el indiciado, acusado o sentenciado actúen con mutuo respeto y en plano de igualdad.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7. La víctima y el imputado, acusado o sentenciado tendrán derecho a consultar a un abogado.”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b/>
          <w:sz w:val="24"/>
          <w:szCs w:val="24"/>
        </w:rPr>
      </w:pPr>
      <w:r w:rsidRPr="00FA7E5C">
        <w:rPr>
          <w:rFonts w:ascii="Times New Roman" w:hAnsi="Times New Roman" w:cs="Times New Roman"/>
          <w:b/>
          <w:sz w:val="24"/>
          <w:szCs w:val="24"/>
        </w:rPr>
        <w:t xml:space="preserve">ARTÍCULO 82. </w:t>
      </w:r>
      <w:r w:rsidRPr="00FA7E5C">
        <w:rPr>
          <w:rFonts w:ascii="Times New Roman" w:hAnsi="Times New Roman" w:cs="Times New Roman"/>
          <w:sz w:val="24"/>
          <w:szCs w:val="24"/>
        </w:rPr>
        <w:t>Modifíquese el Artículo 521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lastRenderedPageBreak/>
        <w:t>“Artículo 521. Mecanismos. Son mecanismos de justicia restaurativa</w:t>
      </w:r>
      <w:r w:rsidRPr="00FA7E5C">
        <w:rPr>
          <w:rFonts w:ascii="Times New Roman" w:hAnsi="Times New Roman" w:cs="Times New Roman"/>
          <w:sz w:val="24"/>
          <w:szCs w:val="24"/>
          <w:u w:val="single"/>
        </w:rPr>
        <w:t>, la conciliación y la mediación, así como cualquier otro mecanismo restaurativo que permita llegar a un acuerdo reparador siguiendo las reglas del artículo 519. “</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 xml:space="preserve">ARTÍCULO 83. </w:t>
      </w:r>
      <w:r w:rsidRPr="00FA7E5C">
        <w:rPr>
          <w:rFonts w:ascii="Times New Roman" w:hAnsi="Times New Roman" w:cs="Times New Roman"/>
          <w:sz w:val="24"/>
          <w:szCs w:val="24"/>
        </w:rPr>
        <w:t xml:space="preserve">Modifíquese el Artículo 522 de la Ley 906 de 2004, el cual quedará así: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522. La conciliación.</w:t>
      </w:r>
      <w:r w:rsidRPr="00FA7E5C">
        <w:rPr>
          <w:rFonts w:ascii="Times New Roman" w:hAnsi="Times New Roman" w:cs="Times New Roman"/>
          <w:sz w:val="24"/>
          <w:szCs w:val="24"/>
          <w:u w:val="single"/>
        </w:rPr>
        <w:t xml:space="preserve"> </w:t>
      </w:r>
      <w:r w:rsidRPr="00FA7E5C">
        <w:rPr>
          <w:rFonts w:ascii="Times New Roman" w:hAnsi="Times New Roman" w:cs="Times New Roman"/>
          <w:sz w:val="24"/>
          <w:szCs w:val="24"/>
        </w:rPr>
        <w:t xml:space="preserve">La conciliación se surtirá obligatoriamente y como requisito de </w:t>
      </w:r>
      <w:proofErr w:type="spellStart"/>
      <w:r w:rsidRPr="00FA7E5C">
        <w:rPr>
          <w:rFonts w:ascii="Times New Roman" w:hAnsi="Times New Roman" w:cs="Times New Roman"/>
          <w:sz w:val="24"/>
          <w:szCs w:val="24"/>
        </w:rPr>
        <w:t>procedibilidad</w:t>
      </w:r>
      <w:proofErr w:type="spellEnd"/>
      <w:r w:rsidRPr="00FA7E5C">
        <w:rPr>
          <w:rFonts w:ascii="Times New Roman" w:hAnsi="Times New Roman" w:cs="Times New Roman"/>
          <w:sz w:val="24"/>
          <w:szCs w:val="24"/>
        </w:rPr>
        <w:t xml:space="preserve"> para el ejercicio de la acción penal </w:t>
      </w:r>
      <w:r w:rsidRPr="00FA7E5C">
        <w:rPr>
          <w:rFonts w:ascii="Times New Roman" w:hAnsi="Times New Roman" w:cs="Times New Roman"/>
          <w:sz w:val="24"/>
          <w:szCs w:val="24"/>
          <w:u w:val="single"/>
        </w:rPr>
        <w:t>cuando se trate de conductas que requieren querella</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en un centro de conciliación o ante un conciliador reconocido como tal.</w:t>
      </w:r>
      <w:r w:rsidRPr="00FA7E5C">
        <w:rPr>
          <w:rFonts w:ascii="Times New Roman" w:hAnsi="Times New Roman" w:cs="Times New Roman"/>
          <w:sz w:val="24"/>
          <w:szCs w:val="24"/>
        </w:rPr>
        <w:t xml:space="preserve">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u w:val="single"/>
        </w:rPr>
        <w:t>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inasistencia injustificada del querellante se entenderá como desistimiento de su pretensión. La del querellado motivará el ejercicio de la acción penal, si fuere procedente. </w:t>
      </w: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En cualquier caso, si alguno de los citados fuere incapaz, concurrirá su representante legal. </w:t>
      </w: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La conciliación se ceñirá, en lo que no contradiga los principios de este Código, a lo establecido en la Ley 640 de 2001.</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 xml:space="preserve">En los delitos que no requieren querella, la conciliación no constituye un requisito de </w:t>
      </w:r>
      <w:proofErr w:type="spellStart"/>
      <w:r w:rsidRPr="00FA7E5C">
        <w:rPr>
          <w:rFonts w:ascii="Times New Roman" w:hAnsi="Times New Roman" w:cs="Times New Roman"/>
          <w:sz w:val="24"/>
          <w:szCs w:val="24"/>
          <w:u w:val="single"/>
        </w:rPr>
        <w:t>procedibilidad</w:t>
      </w:r>
      <w:proofErr w:type="spellEnd"/>
      <w:r w:rsidRPr="00FA7E5C">
        <w:rPr>
          <w:rFonts w:ascii="Times New Roman" w:hAnsi="Times New Roman" w:cs="Times New Roman"/>
          <w:sz w:val="24"/>
          <w:szCs w:val="24"/>
          <w:u w:val="single"/>
        </w:rPr>
        <w:t xml:space="preserve">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En todos los delitos contra el patrimonio económico, la conciliación extingue la acción penal, salvo cuando se trate de hurto calificado y extorsión.</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w:t>
      </w:r>
      <w:r w:rsidRPr="00FA7E5C">
        <w:rPr>
          <w:rFonts w:ascii="Times New Roman" w:hAnsi="Times New Roman" w:cs="Times New Roman"/>
          <w:sz w:val="24"/>
          <w:szCs w:val="24"/>
          <w:u w:val="single"/>
        </w:rPr>
        <w:t xml:space="preserve">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84.</w:t>
      </w:r>
      <w:r w:rsidRPr="00FA7E5C">
        <w:rPr>
          <w:rFonts w:ascii="Times New Roman" w:hAnsi="Times New Roman" w:cs="Times New Roman"/>
          <w:sz w:val="24"/>
          <w:szCs w:val="24"/>
        </w:rPr>
        <w:t> Modifíquese el Artículo 524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“Artículo 524. Oportunidad. La mediación en el proceso penal procede hasta antes de iniciarse la audiencia de juzgamiento para los delitos </w:t>
      </w:r>
      <w:proofErr w:type="spellStart"/>
      <w:r w:rsidRPr="00FA7E5C">
        <w:rPr>
          <w:rFonts w:ascii="Times New Roman" w:hAnsi="Times New Roman" w:cs="Times New Roman"/>
          <w:sz w:val="24"/>
          <w:szCs w:val="24"/>
        </w:rPr>
        <w:t>perseguibles</w:t>
      </w:r>
      <w:proofErr w:type="spellEnd"/>
      <w:r w:rsidRPr="00FA7E5C">
        <w:rPr>
          <w:rFonts w:ascii="Times New Roman" w:hAnsi="Times New Roman" w:cs="Times New Roman"/>
          <w:sz w:val="24"/>
          <w:szCs w:val="24"/>
        </w:rPr>
        <w:t xml:space="preserve"> de oficio cuyo mínimo de pena no exceda de</w:t>
      </w:r>
      <w:r w:rsidRPr="00FA7E5C">
        <w:rPr>
          <w:rFonts w:ascii="Times New Roman" w:hAnsi="Times New Roman" w:cs="Times New Roman"/>
          <w:sz w:val="24"/>
          <w:szCs w:val="24"/>
          <w:u w:val="single"/>
        </w:rPr>
        <w:t xml:space="preserve"> ocho (8) años </w:t>
      </w:r>
      <w:r w:rsidRPr="00FA7E5C">
        <w:rPr>
          <w:rFonts w:ascii="Times New Roman" w:hAnsi="Times New Roman" w:cs="Times New Roman"/>
          <w:sz w:val="24"/>
          <w:szCs w:val="24"/>
        </w:rPr>
        <w:t xml:space="preserve">de prisión en todos los casos en que la víctima, </w:t>
      </w:r>
      <w:r w:rsidRPr="00FA7E5C">
        <w:rPr>
          <w:rFonts w:ascii="Times New Roman" w:hAnsi="Times New Roman" w:cs="Times New Roman"/>
          <w:sz w:val="24"/>
          <w:szCs w:val="24"/>
        </w:rPr>
        <w:lastRenderedPageBreak/>
        <w:t xml:space="preserve">indiciado o acusado acepten expresa y voluntariamente someter su caso a una solución de justicia restaurativa. </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u w:val="single"/>
        </w:rPr>
        <w:t>Parágrafo 1.</w:t>
      </w:r>
      <w:r w:rsidRPr="00FA7E5C">
        <w:rPr>
          <w:rFonts w:ascii="Times New Roman" w:hAnsi="Times New Roman" w:cs="Times New Roman"/>
          <w:sz w:val="24"/>
          <w:szCs w:val="24"/>
          <w:u w:val="single"/>
        </w:rPr>
        <w:t xml:space="preserve"> En los delitos con pena superior a ocho (8) años será considerada para otorgar algunos beneficios durante el trámite de la actuación, o relacionados con la dosificación de la pena, o el purgamiento de la sanción, con excepción de aquellos por hechos constitutivos de graves infracciones al Derecho Internacional Humanitario, delitos de lesa humanidad, crímenes de guerra o genocidio, cuando tratándose de conductas dolosas la víctima sea un menor de dieciocho (18) años, delitos cometidos por bandas u organizaciones criminales y en los casos de atentados contra bienes jurídicos de la administración pública o de la recta administración de justicia la mediación. El presente  parágrafo aplica para los demás mecanismos de justicia restaurativa.”</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85.</w:t>
      </w:r>
      <w:r w:rsidRPr="00FA7E5C">
        <w:rPr>
          <w:rFonts w:ascii="Times New Roman" w:hAnsi="Times New Roman" w:cs="Times New Roman"/>
          <w:sz w:val="24"/>
          <w:szCs w:val="24"/>
        </w:rPr>
        <w:t> Modifíquese el Artículo 526 de la Ley 906 de 2004, el cual quedará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"Artículo 526. Efectos de la mediación. La decisión de la víctima y el indiciado, imputado o acusado de acudir a la mediación tiene efectos vinculantes; en consecuencia, excluye el ejercicio de la acción civil derivada del delito.</w:t>
      </w:r>
    </w:p>
    <w:p w:rsidR="00600D79" w:rsidRPr="00FA7E5C" w:rsidRDefault="00600D7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El mediador enviará copia del informe o acta al fiscal del caso para que lo valore y determine sus efectos en la actuación de acuerdo con el artículo 524 del presente Código."</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86</w:t>
      </w:r>
      <w:r w:rsidRPr="00FA7E5C">
        <w:rPr>
          <w:rFonts w:ascii="Times New Roman" w:hAnsi="Times New Roman" w:cs="Times New Roman"/>
          <w:sz w:val="24"/>
          <w:szCs w:val="24"/>
        </w:rPr>
        <w:t>. Adiciónese al Libro IV de la Ley 906 de 2004 un Capítulo III, denominado Indemnización integral, de la siguiente manera:</w:t>
      </w:r>
    </w:p>
    <w:p w:rsidR="00600D79" w:rsidRPr="00FA7E5C" w:rsidRDefault="00600D79" w:rsidP="00600D79">
      <w:pPr>
        <w:pStyle w:val="Sinespaciado"/>
        <w:jc w:val="both"/>
        <w:rPr>
          <w:rFonts w:ascii="Times New Roman" w:hAnsi="Times New Roman" w:cs="Times New Roman"/>
          <w:b/>
          <w:sz w:val="24"/>
          <w:szCs w:val="24"/>
          <w:u w:val="single"/>
        </w:rPr>
      </w:pPr>
    </w:p>
    <w:p w:rsidR="00932DA4" w:rsidRPr="00FA7E5C" w:rsidRDefault="00932DA4" w:rsidP="00600D79">
      <w:pPr>
        <w:pStyle w:val="Sinespaciado"/>
        <w:jc w:val="both"/>
        <w:rPr>
          <w:rFonts w:ascii="Times New Roman" w:hAnsi="Times New Roman" w:cs="Times New Roman"/>
          <w:b/>
          <w:sz w:val="24"/>
          <w:szCs w:val="24"/>
          <w:u w:val="single"/>
        </w:rPr>
      </w:pPr>
    </w:p>
    <w:p w:rsidR="00932DA4" w:rsidRPr="00FA7E5C" w:rsidRDefault="00932DA4" w:rsidP="00600D79">
      <w:pPr>
        <w:pStyle w:val="Sinespaciado"/>
        <w:jc w:val="both"/>
        <w:rPr>
          <w:rFonts w:ascii="Times New Roman" w:hAnsi="Times New Roman" w:cs="Times New Roman"/>
          <w:b/>
          <w:sz w:val="24"/>
          <w:szCs w:val="24"/>
          <w:u w:val="single"/>
        </w:rPr>
      </w:pPr>
    </w:p>
    <w:p w:rsidR="00600D79" w:rsidRPr="00FA7E5C" w:rsidRDefault="00600D79" w:rsidP="00932DA4">
      <w:pPr>
        <w:pStyle w:val="Sinespaciado"/>
        <w:jc w:val="center"/>
        <w:rPr>
          <w:rFonts w:ascii="Times New Roman" w:hAnsi="Times New Roman" w:cs="Times New Roman"/>
          <w:b/>
          <w:sz w:val="24"/>
          <w:szCs w:val="24"/>
          <w:u w:val="single"/>
        </w:rPr>
      </w:pPr>
      <w:r w:rsidRPr="00FA7E5C">
        <w:rPr>
          <w:rFonts w:ascii="Times New Roman" w:hAnsi="Times New Roman" w:cs="Times New Roman"/>
          <w:b/>
          <w:sz w:val="24"/>
          <w:szCs w:val="24"/>
          <w:u w:val="single"/>
        </w:rPr>
        <w:t>CAPITULO III. INDEMNIZACIÓN INTEGRAL</w:t>
      </w:r>
    </w:p>
    <w:p w:rsidR="00600D79" w:rsidRPr="00FA7E5C" w:rsidRDefault="00600D79" w:rsidP="00600D79">
      <w:pPr>
        <w:pStyle w:val="Sinespaciado"/>
        <w:jc w:val="both"/>
        <w:rPr>
          <w:rFonts w:ascii="Times New Roman" w:hAnsi="Times New Roman" w:cs="Times New Roman"/>
          <w:b/>
          <w:sz w:val="24"/>
          <w:szCs w:val="24"/>
          <w:u w:val="single"/>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ARTÍCULO 87</w:t>
      </w:r>
      <w:r w:rsidRPr="00FA7E5C">
        <w:rPr>
          <w:rFonts w:ascii="Times New Roman" w:hAnsi="Times New Roman" w:cs="Times New Roman"/>
          <w:sz w:val="24"/>
          <w:szCs w:val="24"/>
        </w:rPr>
        <w:t>. La Ley 906 de 2004 tendrá un nuevo artículo 527A, así:</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527A. Indemnización integral.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extinguirá para todos los procesados cuando se repare integralmente el daño ocasionado.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La indemnización integral se efectuará con base en el avalúo que de los perjuicios haga un perito, a menos que exista acuerdo sobre el mismo o el perjudicado manifieste expresamente haber sido indemnizado.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u w:val="single"/>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1</w:t>
      </w:r>
      <w:r w:rsidRPr="00FA7E5C">
        <w:rPr>
          <w:rFonts w:ascii="Times New Roman" w:hAnsi="Times New Roman" w:cs="Times New Roman"/>
          <w:sz w:val="24"/>
          <w:szCs w:val="24"/>
        </w:rPr>
        <w:t>. Lo dispuesto en este artículo podrá aplicarse en cualquier etapa procesal y, hasta que se profiera decisión que haga tránsito a cosa juzgada.</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Parágrafo 2</w:t>
      </w:r>
      <w:r w:rsidRPr="00FA7E5C">
        <w:rPr>
          <w:rFonts w:ascii="Times New Roman" w:hAnsi="Times New Roman" w:cs="Times New Roman"/>
          <w:sz w:val="24"/>
          <w:szCs w:val="24"/>
        </w:rPr>
        <w:t xml:space="preserve">. Si la indemnización integral se da cuando la sentencia se encuentra ejecutoriada, siempre y cuando se trate de delitos contemplados en la presente disposición, el Juez de Ejecución de Penas y Medidas de Seguridad podrá  reducir la sanción penal a la mitad a petición de parte.”. </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 xml:space="preserve">ARTÍCULO 88. </w:t>
      </w:r>
      <w:r w:rsidRPr="00FA7E5C">
        <w:rPr>
          <w:rFonts w:ascii="Times New Roman" w:hAnsi="Times New Roman" w:cs="Times New Roman"/>
          <w:sz w:val="24"/>
          <w:szCs w:val="24"/>
        </w:rPr>
        <w:t>La Ley 906 de 2004 tendrá un nuevo artículo 585 así:</w:t>
      </w:r>
      <w:r w:rsidRPr="00FA7E5C">
        <w:rPr>
          <w:rFonts w:ascii="Times New Roman" w:hAnsi="Times New Roman" w:cs="Times New Roman"/>
          <w:sz w:val="24"/>
          <w:szCs w:val="24"/>
          <w:u w:val="single"/>
        </w:rPr>
        <w:t xml:space="preserve"> </w:t>
      </w:r>
    </w:p>
    <w:p w:rsidR="00600D79" w:rsidRPr="00FA7E5C" w:rsidRDefault="00600D79" w:rsidP="00600D79">
      <w:pPr>
        <w:pStyle w:val="Sinespaciado"/>
        <w:jc w:val="both"/>
        <w:rPr>
          <w:rFonts w:ascii="Times New Roman" w:hAnsi="Times New Roman" w:cs="Times New Roman"/>
          <w:sz w:val="24"/>
          <w:szCs w:val="24"/>
        </w:rPr>
      </w:pPr>
    </w:p>
    <w:p w:rsidR="00600D79" w:rsidRPr="00FA7E5C" w:rsidRDefault="00600D79"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“Artículo 585. Régimen de transición. Los incidentes de reparación integral que se hayan iniciado antes de la entrada en vigencia de esta ley se tramitarán hasta su culminación ante la jurisdicción penal.”</w:t>
      </w:r>
    </w:p>
    <w:p w:rsidR="00600D79" w:rsidRPr="00FA7E5C" w:rsidRDefault="00600D79"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89.</w:t>
      </w:r>
      <w:r w:rsidRPr="00FA7E5C">
        <w:rPr>
          <w:rFonts w:ascii="Times New Roman" w:hAnsi="Times New Roman" w:cs="Times New Roman"/>
          <w:sz w:val="24"/>
          <w:szCs w:val="24"/>
        </w:rPr>
        <w:t> Modifíquese</w:t>
      </w:r>
      <w:r w:rsidR="002B2457" w:rsidRPr="00FA7E5C">
        <w:rPr>
          <w:rFonts w:ascii="Times New Roman" w:hAnsi="Times New Roman" w:cs="Times New Roman"/>
          <w:sz w:val="24"/>
          <w:szCs w:val="24"/>
        </w:rPr>
        <w:t xml:space="preserve"> el artículo 25 del Código de Procedimiento Penal, el cual quedara así:</w:t>
      </w:r>
    </w:p>
    <w:p w:rsidR="000C029C" w:rsidRPr="00FA7E5C" w:rsidRDefault="000C029C" w:rsidP="00600D79">
      <w:pPr>
        <w:pStyle w:val="Sinespaciado"/>
        <w:jc w:val="both"/>
        <w:rPr>
          <w:rFonts w:ascii="Times New Roman" w:hAnsi="Times New Roman" w:cs="Times New Roman"/>
          <w:sz w:val="24"/>
          <w:szCs w:val="24"/>
          <w:u w:val="single"/>
        </w:rPr>
      </w:pPr>
    </w:p>
    <w:p w:rsidR="000C029C" w:rsidRPr="00FA7E5C" w:rsidRDefault="000C029C" w:rsidP="00600D79">
      <w:pPr>
        <w:pStyle w:val="Sinespaciado"/>
        <w:jc w:val="both"/>
        <w:rPr>
          <w:rFonts w:ascii="Times New Roman" w:hAnsi="Times New Roman" w:cs="Times New Roman"/>
          <w:sz w:val="24"/>
          <w:szCs w:val="24"/>
          <w:u w:val="single"/>
        </w:rPr>
      </w:pPr>
    </w:p>
    <w:p w:rsidR="00600D79" w:rsidRPr="00FA7E5C" w:rsidRDefault="000C029C" w:rsidP="00600D79">
      <w:pPr>
        <w:pStyle w:val="Sinespaciado"/>
        <w:jc w:val="both"/>
        <w:rPr>
          <w:rFonts w:ascii="Times New Roman" w:hAnsi="Times New Roman" w:cs="Times New Roman"/>
          <w:sz w:val="24"/>
          <w:szCs w:val="24"/>
        </w:rPr>
      </w:pPr>
      <w:r w:rsidRPr="00FA7E5C">
        <w:rPr>
          <w:rFonts w:ascii="Times New Roman" w:hAnsi="Times New Roman" w:cs="Times New Roman"/>
          <w:b/>
          <w:bCs/>
          <w:sz w:val="24"/>
          <w:szCs w:val="24"/>
        </w:rPr>
        <w:t>Artículo</w:t>
      </w:r>
      <w:r w:rsidRPr="00FA7E5C">
        <w:rPr>
          <w:rFonts w:ascii="Times New Roman" w:hAnsi="Times New Roman" w:cs="Times New Roman"/>
          <w:sz w:val="24"/>
          <w:szCs w:val="24"/>
        </w:rPr>
        <w:t> </w:t>
      </w:r>
      <w:r w:rsidRPr="00FA7E5C">
        <w:rPr>
          <w:rFonts w:ascii="Times New Roman" w:hAnsi="Times New Roman" w:cs="Times New Roman"/>
          <w:b/>
          <w:bCs/>
          <w:sz w:val="24"/>
          <w:szCs w:val="24"/>
        </w:rPr>
        <w:t>25.</w:t>
      </w:r>
      <w:r w:rsidRPr="00FA7E5C">
        <w:rPr>
          <w:rFonts w:ascii="Times New Roman" w:hAnsi="Times New Roman" w:cs="Times New Roman"/>
          <w:sz w:val="24"/>
          <w:szCs w:val="24"/>
        </w:rPr>
        <w:t xml:space="preserve"> </w:t>
      </w:r>
      <w:r w:rsidRPr="00FA7E5C">
        <w:rPr>
          <w:rFonts w:ascii="Times New Roman" w:hAnsi="Times New Roman" w:cs="Times New Roman"/>
          <w:i/>
          <w:iCs/>
          <w:sz w:val="24"/>
          <w:szCs w:val="24"/>
        </w:rPr>
        <w:t>Integración.</w:t>
      </w:r>
      <w:r w:rsidRPr="00FA7E5C">
        <w:rPr>
          <w:rFonts w:ascii="Times New Roman" w:hAnsi="Times New Roman" w:cs="Times New Roman"/>
          <w:sz w:val="24"/>
          <w:szCs w:val="24"/>
        </w:rPr>
        <w:t xml:space="preserve"> En materias que no estén expresamente reguladas en este código o demás disposiciones complementarias, son aplicables las del </w:t>
      </w:r>
      <w:r w:rsidRPr="00FA7E5C">
        <w:rPr>
          <w:rFonts w:ascii="Times New Roman" w:hAnsi="Times New Roman" w:cs="Times New Roman"/>
          <w:sz w:val="24"/>
          <w:szCs w:val="24"/>
          <w:u w:val="single"/>
        </w:rPr>
        <w:t>Código General del Proceso</w:t>
      </w:r>
      <w:r w:rsidRPr="00FA7E5C">
        <w:rPr>
          <w:rFonts w:ascii="Times New Roman" w:hAnsi="Times New Roman" w:cs="Times New Roman"/>
          <w:sz w:val="24"/>
          <w:szCs w:val="24"/>
        </w:rPr>
        <w:t xml:space="preserve"> y las de otros ordenamientos procesales cuando no se opongan a la naturaleza del procedimiento penal.</w:t>
      </w:r>
    </w:p>
    <w:p w:rsidR="000C029C" w:rsidRPr="00FA7E5C" w:rsidRDefault="000C029C" w:rsidP="00600D79">
      <w:pPr>
        <w:pStyle w:val="Sinespaciado"/>
        <w:jc w:val="both"/>
        <w:rPr>
          <w:rFonts w:ascii="Times New Roman" w:hAnsi="Times New Roman" w:cs="Times New Roman"/>
          <w:sz w:val="24"/>
          <w:szCs w:val="24"/>
          <w:u w:val="single"/>
        </w:rPr>
      </w:pPr>
    </w:p>
    <w:p w:rsidR="002B2457" w:rsidRPr="00FA7E5C" w:rsidRDefault="002B2457" w:rsidP="002B2457">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90.</w:t>
      </w:r>
      <w:r w:rsidRPr="00FA7E5C">
        <w:rPr>
          <w:rFonts w:ascii="Times New Roman" w:hAnsi="Times New Roman" w:cs="Times New Roman"/>
          <w:sz w:val="24"/>
          <w:szCs w:val="24"/>
        </w:rPr>
        <w:t> Modifíquese el artículo 52 del Código de Procedimiento Penal, el cual quedara así:</w:t>
      </w:r>
    </w:p>
    <w:p w:rsidR="000C029C" w:rsidRPr="00FA7E5C" w:rsidRDefault="000C029C" w:rsidP="000C029C">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 52.</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Competencia por conexidad.</w:t>
      </w:r>
      <w:r w:rsidRPr="00FA7E5C">
        <w:rPr>
          <w:rFonts w:ascii="Times New Roman" w:eastAsia="Times New Roman" w:hAnsi="Times New Roman" w:cs="Times New Roman"/>
          <w:sz w:val="24"/>
          <w:szCs w:val="24"/>
          <w:lang w:eastAsia="es-CO"/>
        </w:rPr>
        <w:t xml:space="preserve"> 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realizado el mayor número de delitos; donde se haya producido la primera aprehensión o donde se haya </w:t>
      </w:r>
      <w:r w:rsidRPr="00FA7E5C">
        <w:rPr>
          <w:rFonts w:ascii="Times New Roman" w:eastAsia="Times New Roman" w:hAnsi="Times New Roman" w:cs="Times New Roman"/>
          <w:sz w:val="24"/>
          <w:szCs w:val="24"/>
          <w:u w:val="single"/>
          <w:lang w:eastAsia="es-CO"/>
        </w:rPr>
        <w:t>comunicado</w:t>
      </w:r>
      <w:r w:rsidRPr="00FA7E5C">
        <w:rPr>
          <w:rFonts w:ascii="Times New Roman" w:eastAsia="Times New Roman" w:hAnsi="Times New Roman" w:cs="Times New Roman"/>
          <w:sz w:val="24"/>
          <w:szCs w:val="24"/>
          <w:lang w:eastAsia="es-CO"/>
        </w:rPr>
        <w:t xml:space="preserve"> primero la imputación.</w:t>
      </w:r>
    </w:p>
    <w:p w:rsidR="000C029C" w:rsidRPr="00FA7E5C" w:rsidRDefault="000C029C" w:rsidP="000C029C">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Cuando se trate de conexidad entre delitos de competencia del juez penal de circuito especializado y cualquier otro funcionario judicial corresponderá el juzgamiento a aquel.</w:t>
      </w:r>
    </w:p>
    <w:p w:rsidR="002B2457" w:rsidRPr="00FA7E5C" w:rsidRDefault="002B2457" w:rsidP="002B2457">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91.</w:t>
      </w:r>
      <w:r w:rsidRPr="00FA7E5C">
        <w:rPr>
          <w:rFonts w:ascii="Times New Roman" w:hAnsi="Times New Roman" w:cs="Times New Roman"/>
          <w:sz w:val="24"/>
          <w:szCs w:val="24"/>
        </w:rPr>
        <w:t> Modifíquese el numeral 11 del artículo 56 del Código de Procedimiento Penal, el cual quedara así:</w:t>
      </w:r>
    </w:p>
    <w:p w:rsidR="000C029C" w:rsidRPr="00FA7E5C" w:rsidRDefault="000C029C" w:rsidP="00600D79">
      <w:pPr>
        <w:pStyle w:val="Sinespaciado"/>
        <w:jc w:val="both"/>
        <w:rPr>
          <w:rFonts w:ascii="Times New Roman" w:hAnsi="Times New Roman" w:cs="Times New Roman"/>
          <w:sz w:val="24"/>
          <w:szCs w:val="24"/>
          <w:u w:val="single"/>
        </w:rPr>
      </w:pPr>
    </w:p>
    <w:p w:rsidR="000C029C" w:rsidRPr="00FA7E5C" w:rsidRDefault="000C029C" w:rsidP="00600D79">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 xml:space="preserve">11. Que antes de formular la </w:t>
      </w:r>
      <w:r w:rsidRPr="00FA7E5C">
        <w:rPr>
          <w:rFonts w:ascii="Times New Roman" w:hAnsi="Times New Roman" w:cs="Times New Roman"/>
          <w:sz w:val="24"/>
          <w:szCs w:val="24"/>
          <w:u w:val="single"/>
        </w:rPr>
        <w:t>acusación</w:t>
      </w:r>
      <w:r w:rsidRPr="00FA7E5C">
        <w:rPr>
          <w:rFonts w:ascii="Times New Roman" w:hAnsi="Times New Roman" w:cs="Times New Roman"/>
          <w:sz w:val="24"/>
          <w:szCs w:val="24"/>
        </w:rPr>
        <w:t xml:space="preserve"> el funcionario judicial haya estado vinculado legalmente a una investigación penal, o disciplinaria en la que le hayan formulado cargos, por denuncia o queja instaurada por alguno de los intervinientes. Si la denuncia o la queja </w:t>
      </w:r>
      <w:proofErr w:type="gramStart"/>
      <w:r w:rsidRPr="00FA7E5C">
        <w:rPr>
          <w:rFonts w:ascii="Times New Roman" w:hAnsi="Times New Roman" w:cs="Times New Roman"/>
          <w:sz w:val="24"/>
          <w:szCs w:val="24"/>
        </w:rPr>
        <w:t>fuere</w:t>
      </w:r>
      <w:proofErr w:type="gramEnd"/>
      <w:r w:rsidRPr="00FA7E5C">
        <w:rPr>
          <w:rFonts w:ascii="Times New Roman" w:hAnsi="Times New Roman" w:cs="Times New Roman"/>
          <w:sz w:val="24"/>
          <w:szCs w:val="24"/>
        </w:rPr>
        <w:t xml:space="preserve"> presentada con posterioridad a la formulación de la </w:t>
      </w:r>
      <w:r w:rsidR="00BD4932" w:rsidRPr="00FA7E5C">
        <w:rPr>
          <w:rFonts w:ascii="Times New Roman" w:hAnsi="Times New Roman" w:cs="Times New Roman"/>
          <w:sz w:val="24"/>
          <w:szCs w:val="24"/>
          <w:u w:val="single"/>
        </w:rPr>
        <w:t>acusaci</w:t>
      </w:r>
      <w:r w:rsidRPr="00FA7E5C">
        <w:rPr>
          <w:rFonts w:ascii="Times New Roman" w:hAnsi="Times New Roman" w:cs="Times New Roman"/>
          <w:sz w:val="24"/>
          <w:szCs w:val="24"/>
          <w:u w:val="single"/>
        </w:rPr>
        <w:t>ón</w:t>
      </w:r>
      <w:r w:rsidRPr="00FA7E5C">
        <w:rPr>
          <w:rFonts w:ascii="Times New Roman" w:hAnsi="Times New Roman" w:cs="Times New Roman"/>
          <w:sz w:val="24"/>
          <w:szCs w:val="24"/>
        </w:rPr>
        <w:t>, procederá el impedimento cuando se vincule jurídicamente al funcionario judicial.</w:t>
      </w:r>
    </w:p>
    <w:p w:rsidR="002B2457" w:rsidRPr="00FA7E5C" w:rsidRDefault="002B2457" w:rsidP="00600D79">
      <w:pPr>
        <w:pStyle w:val="Sinespaciado"/>
        <w:jc w:val="both"/>
        <w:rPr>
          <w:rFonts w:ascii="Times New Roman" w:hAnsi="Times New Roman" w:cs="Times New Roman"/>
          <w:sz w:val="24"/>
          <w:szCs w:val="24"/>
        </w:rPr>
      </w:pPr>
    </w:p>
    <w:p w:rsidR="002B2457" w:rsidRPr="00FA7E5C" w:rsidRDefault="002B2457" w:rsidP="002B2457">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92.</w:t>
      </w:r>
      <w:r w:rsidRPr="00FA7E5C">
        <w:rPr>
          <w:rFonts w:ascii="Times New Roman" w:hAnsi="Times New Roman" w:cs="Times New Roman"/>
          <w:sz w:val="24"/>
          <w:szCs w:val="24"/>
        </w:rPr>
        <w:t> Modifíquese el artículo 76 del Código de Procedimiento Penal, el cual quedara así:</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 76.</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Desistimiento de la querella.</w:t>
      </w:r>
      <w:r w:rsidRPr="00FA7E5C">
        <w:rPr>
          <w:rFonts w:ascii="Times New Roman" w:eastAsia="Times New Roman" w:hAnsi="Times New Roman" w:cs="Times New Roman"/>
          <w:sz w:val="24"/>
          <w:szCs w:val="24"/>
          <w:lang w:eastAsia="es-CO"/>
        </w:rPr>
        <w:t xml:space="preserve"> En cualquier momento de la actuación y antes de concluir la audiencia preparatoria, el querellante podrá manifestar verbalmente o por escrito su deseo de no continuar con los procedimientos.</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Si al momento de presentarse la solicitud no se hubiese formulado la </w:t>
      </w:r>
      <w:r w:rsidRPr="00FA7E5C">
        <w:rPr>
          <w:rFonts w:ascii="Times New Roman" w:eastAsia="Times New Roman" w:hAnsi="Times New Roman" w:cs="Times New Roman"/>
          <w:sz w:val="24"/>
          <w:szCs w:val="24"/>
          <w:u w:val="single"/>
          <w:lang w:eastAsia="es-CO"/>
        </w:rPr>
        <w:t>acusación</w:t>
      </w:r>
      <w:r w:rsidRPr="00FA7E5C">
        <w:rPr>
          <w:rFonts w:ascii="Times New Roman" w:eastAsia="Times New Roman" w:hAnsi="Times New Roman" w:cs="Times New Roman"/>
          <w:sz w:val="24"/>
          <w:szCs w:val="24"/>
          <w:lang w:eastAsia="es-CO"/>
        </w:rPr>
        <w:t>, le corresponde a la Fiscalía verificar que ella sea voluntaria, libre e informada, antes de proceder a aceptarla y archivar las diligencias.</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Si se hubiere formulado la </w:t>
      </w:r>
      <w:r w:rsidRPr="00FA7E5C">
        <w:rPr>
          <w:rFonts w:ascii="Times New Roman" w:eastAsia="Times New Roman" w:hAnsi="Times New Roman" w:cs="Times New Roman"/>
          <w:sz w:val="24"/>
          <w:szCs w:val="24"/>
          <w:u w:val="single"/>
          <w:lang w:eastAsia="es-CO"/>
        </w:rPr>
        <w:t>acusación</w:t>
      </w:r>
      <w:r w:rsidRPr="00FA7E5C">
        <w:rPr>
          <w:rFonts w:ascii="Times New Roman" w:eastAsia="Times New Roman" w:hAnsi="Times New Roman" w:cs="Times New Roman"/>
          <w:sz w:val="24"/>
          <w:szCs w:val="24"/>
          <w:lang w:eastAsia="es-CO"/>
        </w:rPr>
        <w:t xml:space="preserve"> le corresponderá al juez de conocimiento, luego de escuchar el parecer de la Fiscalía, determinar si acepta el desistimiento.</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En cualquier caso el desistimiento se hará extensivo a todos los autores o partícipes del delito investigado, y una vez aceptado no admitirá retractación.</w:t>
      </w:r>
    </w:p>
    <w:p w:rsidR="00C230CE" w:rsidRPr="00FA7E5C" w:rsidRDefault="00C230CE"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p>
    <w:p w:rsidR="00C230CE" w:rsidRPr="00FA7E5C" w:rsidRDefault="00C230CE" w:rsidP="00C230CE">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93.</w:t>
      </w:r>
      <w:r w:rsidRPr="00FA7E5C">
        <w:rPr>
          <w:rFonts w:ascii="Times New Roman" w:hAnsi="Times New Roman" w:cs="Times New Roman"/>
          <w:sz w:val="24"/>
          <w:szCs w:val="24"/>
        </w:rPr>
        <w:t> Modifíquese el artículo 85 del Código de Procedimiento Penal, el cual quedara así:</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w:t>
      </w:r>
      <w:r w:rsidRPr="00FA7E5C">
        <w:rPr>
          <w:rFonts w:ascii="Times New Roman" w:eastAsia="Times New Roman" w:hAnsi="Times New Roman" w:cs="Times New Roman"/>
          <w:sz w:val="24"/>
          <w:szCs w:val="24"/>
          <w:lang w:eastAsia="es-CO"/>
        </w:rPr>
        <w:t> </w:t>
      </w:r>
      <w:r w:rsidRPr="00FA7E5C">
        <w:rPr>
          <w:rFonts w:ascii="Times New Roman" w:eastAsia="Times New Roman" w:hAnsi="Times New Roman" w:cs="Times New Roman"/>
          <w:b/>
          <w:bCs/>
          <w:sz w:val="24"/>
          <w:szCs w:val="24"/>
          <w:lang w:eastAsia="es-CO"/>
        </w:rPr>
        <w:t>85.</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Suspensión del poder dispositivo.</w:t>
      </w:r>
      <w:r w:rsidRPr="00FA7E5C">
        <w:rPr>
          <w:rFonts w:ascii="Times New Roman" w:eastAsia="Times New Roman" w:hAnsi="Times New Roman" w:cs="Times New Roman"/>
          <w:sz w:val="24"/>
          <w:szCs w:val="24"/>
          <w:lang w:eastAsia="es-CO"/>
        </w:rPr>
        <w:t xml:space="preserve"> En la formulación de </w:t>
      </w:r>
      <w:r w:rsidRPr="00FA7E5C">
        <w:rPr>
          <w:rFonts w:ascii="Times New Roman" w:eastAsia="Times New Roman" w:hAnsi="Times New Roman" w:cs="Times New Roman"/>
          <w:sz w:val="24"/>
          <w:szCs w:val="24"/>
          <w:u w:val="single"/>
          <w:lang w:eastAsia="es-CO"/>
        </w:rPr>
        <w:t>acusación</w:t>
      </w:r>
      <w:r w:rsidRPr="00FA7E5C">
        <w:rPr>
          <w:rFonts w:ascii="Times New Roman" w:eastAsia="Times New Roman" w:hAnsi="Times New Roman" w:cs="Times New Roman"/>
          <w:sz w:val="24"/>
          <w:szCs w:val="24"/>
          <w:lang w:eastAsia="es-CO"/>
        </w:rPr>
        <w:t xml:space="preserve"> o en audiencia preliminar el fiscal podrá solicitar la suspensión del poder dispositivo de bienes y recursos con fines de comiso, que se mantendrá hasta tanto se resuelva sobre el mismo con carácter definitivo o se disponga su devolución.</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rsidR="00BD4932" w:rsidRPr="00FA7E5C" w:rsidRDefault="00BD4932" w:rsidP="00932DA4">
      <w:pPr>
        <w:spacing w:before="100" w:beforeAutospacing="1" w:after="100" w:afterAutospacing="1" w:line="240" w:lineRule="auto"/>
        <w:jc w:val="both"/>
        <w:rPr>
          <w:rFonts w:ascii="Times New Roman" w:hAnsi="Times New Roman" w:cs="Times New Roman"/>
          <w:sz w:val="24"/>
          <w:szCs w:val="24"/>
          <w:u w:val="single"/>
        </w:rPr>
      </w:pPr>
      <w:r w:rsidRPr="00FA7E5C">
        <w:rPr>
          <w:rFonts w:ascii="Times New Roman" w:eastAsia="Times New Roman" w:hAnsi="Times New Roman" w:cs="Times New Roman"/>
          <w:sz w:val="24"/>
          <w:szCs w:val="24"/>
          <w:lang w:eastAsia="es-CO"/>
        </w:rPr>
        <w:t>En todo caso, para solicitar la suspensión del poder dispositivo de bienes y recursos con fines de comiso, el fiscal tendrá en cuenta el interés de la justicia, el valor del bien y la viabilidad económica de su administración.</w:t>
      </w:r>
    </w:p>
    <w:p w:rsidR="00C230CE" w:rsidRPr="00FA7E5C" w:rsidRDefault="00C230CE" w:rsidP="00C230CE">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94.</w:t>
      </w:r>
      <w:r w:rsidRPr="00FA7E5C">
        <w:rPr>
          <w:rFonts w:ascii="Times New Roman" w:hAnsi="Times New Roman" w:cs="Times New Roman"/>
          <w:sz w:val="24"/>
          <w:szCs w:val="24"/>
        </w:rPr>
        <w:t> Modifíquese el artículo 97 del Código de Procedimiento Penal, el cual quedara así:</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lastRenderedPageBreak/>
        <w:t>Artículo 97.</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Prohibición de enajenar.</w:t>
      </w:r>
      <w:r w:rsidRPr="00FA7E5C">
        <w:rPr>
          <w:rFonts w:ascii="Times New Roman" w:eastAsia="Times New Roman" w:hAnsi="Times New Roman" w:cs="Times New Roman"/>
          <w:sz w:val="24"/>
          <w:szCs w:val="24"/>
          <w:lang w:eastAsia="es-CO"/>
        </w:rPr>
        <w:t xml:space="preserve"> El imputado dentro del proceso penal no podrá enajenar bienes sujetos a registro durante los seis (6) meses siguientes a la </w:t>
      </w:r>
      <w:r w:rsidRPr="00FA7E5C">
        <w:rPr>
          <w:rFonts w:ascii="Times New Roman" w:eastAsia="Times New Roman" w:hAnsi="Times New Roman" w:cs="Times New Roman"/>
          <w:sz w:val="24"/>
          <w:szCs w:val="24"/>
          <w:u w:val="single"/>
          <w:lang w:eastAsia="es-CO"/>
        </w:rPr>
        <w:t>comunicación</w:t>
      </w:r>
      <w:r w:rsidRPr="00FA7E5C">
        <w:rPr>
          <w:rFonts w:ascii="Times New Roman" w:eastAsia="Times New Roman" w:hAnsi="Times New Roman" w:cs="Times New Roman"/>
          <w:sz w:val="24"/>
          <w:szCs w:val="24"/>
          <w:lang w:eastAsia="es-CO"/>
        </w:rPr>
        <w:t xml:space="preserve"> de la imputación, a no ser que antes se garantice la indemnización de perjuicios o haya pronunciamiento de fondo sobre su inocencia.</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Esta obligación deberá ser </w:t>
      </w:r>
      <w:r w:rsidR="00B133D2" w:rsidRPr="00FA7E5C">
        <w:rPr>
          <w:rFonts w:ascii="Times New Roman" w:hAnsi="Times New Roman" w:cs="Times New Roman"/>
          <w:sz w:val="24"/>
          <w:szCs w:val="24"/>
          <w:u w:val="single"/>
        </w:rPr>
        <w:t>comunicada expresamente en el escrito de imputación</w:t>
      </w:r>
      <w:r w:rsidRPr="00FA7E5C">
        <w:rPr>
          <w:rFonts w:ascii="Times New Roman" w:eastAsia="Times New Roman" w:hAnsi="Times New Roman" w:cs="Times New Roman"/>
          <w:sz w:val="24"/>
          <w:szCs w:val="24"/>
          <w:lang w:eastAsia="es-CO"/>
        </w:rPr>
        <w:t>. Cualquier negociación que se haga sobre los bienes sin autorización del juez será nula y así se deberá decretar.</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Para los efectos del presente artículo el</w:t>
      </w:r>
      <w:r w:rsidRPr="00FA7E5C">
        <w:rPr>
          <w:rFonts w:ascii="Times New Roman" w:eastAsia="Times New Roman" w:hAnsi="Times New Roman" w:cs="Times New Roman"/>
          <w:b/>
          <w:bCs/>
          <w:sz w:val="24"/>
          <w:szCs w:val="24"/>
          <w:lang w:eastAsia="es-CO"/>
        </w:rPr>
        <w:t xml:space="preserve"> </w:t>
      </w:r>
      <w:r w:rsidR="00B133D2" w:rsidRPr="00FA7E5C">
        <w:rPr>
          <w:rFonts w:ascii="Times New Roman" w:eastAsia="Times New Roman" w:hAnsi="Times New Roman" w:cs="Times New Roman"/>
          <w:bCs/>
          <w:sz w:val="24"/>
          <w:szCs w:val="24"/>
          <w:u w:val="single"/>
          <w:lang w:eastAsia="es-CO"/>
        </w:rPr>
        <w:t>fiscal o el acusador privado</w:t>
      </w:r>
      <w:r w:rsidRPr="00FA7E5C">
        <w:rPr>
          <w:rFonts w:ascii="Times New Roman" w:eastAsia="Times New Roman" w:hAnsi="Times New Roman" w:cs="Times New Roman"/>
          <w:sz w:val="24"/>
          <w:szCs w:val="24"/>
          <w:lang w:eastAsia="es-CO"/>
        </w:rPr>
        <w:t xml:space="preserve"> </w:t>
      </w:r>
      <w:proofErr w:type="gramStart"/>
      <w:r w:rsidRPr="00FA7E5C">
        <w:rPr>
          <w:rFonts w:ascii="Times New Roman" w:eastAsia="Times New Roman" w:hAnsi="Times New Roman" w:cs="Times New Roman"/>
          <w:sz w:val="24"/>
          <w:szCs w:val="24"/>
          <w:lang w:eastAsia="es-CO"/>
        </w:rPr>
        <w:t>comunicará</w:t>
      </w:r>
      <w:proofErr w:type="gramEnd"/>
      <w:r w:rsidRPr="00FA7E5C">
        <w:rPr>
          <w:rFonts w:ascii="Times New Roman" w:eastAsia="Times New Roman" w:hAnsi="Times New Roman" w:cs="Times New Roman"/>
          <w:sz w:val="24"/>
          <w:szCs w:val="24"/>
          <w:lang w:eastAsia="es-CO"/>
        </w:rPr>
        <w:t xml:space="preserve"> la prohibición a la oficina de registro correspondiente.</w:t>
      </w:r>
    </w:p>
    <w:p w:rsidR="00BD4932" w:rsidRPr="00FA7E5C" w:rsidRDefault="00BD4932"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Lo anterior sin perjuicio de los negocios jurídicos realizados con anterioridad y que deban perfeccionarse en el transcurso del proceso y de los derechos de los terceros de buena fe, quienes podrán hacerlos valer, personalmente o por intermedio de abogado dentro de una audiencia preliminar que deberá proponerse, para ese único fin, desde la </w:t>
      </w:r>
      <w:r w:rsidR="00B133D2" w:rsidRPr="00FA7E5C">
        <w:rPr>
          <w:rFonts w:ascii="Times New Roman" w:eastAsia="Times New Roman" w:hAnsi="Times New Roman" w:cs="Times New Roman"/>
          <w:sz w:val="24"/>
          <w:szCs w:val="24"/>
          <w:u w:val="single"/>
          <w:lang w:eastAsia="es-CO"/>
        </w:rPr>
        <w:t>comunica</w:t>
      </w:r>
      <w:r w:rsidRPr="00FA7E5C">
        <w:rPr>
          <w:rFonts w:ascii="Times New Roman" w:eastAsia="Times New Roman" w:hAnsi="Times New Roman" w:cs="Times New Roman"/>
          <w:sz w:val="24"/>
          <w:szCs w:val="24"/>
          <w:u w:val="single"/>
          <w:lang w:eastAsia="es-CO"/>
        </w:rPr>
        <w:t>ción</w:t>
      </w:r>
      <w:r w:rsidRPr="00FA7E5C">
        <w:rPr>
          <w:rFonts w:ascii="Times New Roman" w:eastAsia="Times New Roman" w:hAnsi="Times New Roman" w:cs="Times New Roman"/>
          <w:sz w:val="24"/>
          <w:szCs w:val="24"/>
          <w:lang w:eastAsia="es-CO"/>
        </w:rPr>
        <w:t xml:space="preserve"> de la imputación hasta antes de iniciarse el juicio oral, con base en los motivos existentes al tiempo de su formulación. El juez que conozca del asunto resolverá de plano.</w:t>
      </w:r>
    </w:p>
    <w:p w:rsidR="00932DA4" w:rsidRPr="00FA7E5C" w:rsidRDefault="00932DA4" w:rsidP="00BD4932">
      <w:pPr>
        <w:spacing w:before="100" w:beforeAutospacing="1" w:after="100" w:afterAutospacing="1" w:line="240" w:lineRule="auto"/>
        <w:jc w:val="both"/>
        <w:rPr>
          <w:rFonts w:ascii="Times New Roman" w:eastAsia="Times New Roman" w:hAnsi="Times New Roman" w:cs="Times New Roman"/>
          <w:sz w:val="24"/>
          <w:szCs w:val="24"/>
          <w:lang w:eastAsia="es-CO"/>
        </w:rPr>
      </w:pPr>
    </w:p>
    <w:p w:rsidR="00C230CE" w:rsidRPr="00FA7E5C" w:rsidRDefault="00C230CE" w:rsidP="00C230CE">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95.</w:t>
      </w:r>
      <w:r w:rsidRPr="00FA7E5C">
        <w:rPr>
          <w:rFonts w:ascii="Times New Roman" w:hAnsi="Times New Roman" w:cs="Times New Roman"/>
          <w:sz w:val="24"/>
          <w:szCs w:val="24"/>
        </w:rPr>
        <w:t> Modifíquese el artículo 119 del Código de Procedimiento Penal, el cual quedara así:</w:t>
      </w:r>
    </w:p>
    <w:p w:rsidR="00A76971" w:rsidRPr="00FA7E5C" w:rsidRDefault="00A76971" w:rsidP="00A7697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 119</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Oportunidad.</w:t>
      </w:r>
      <w:r w:rsidRPr="00FA7E5C">
        <w:rPr>
          <w:rFonts w:ascii="Times New Roman" w:eastAsia="Times New Roman" w:hAnsi="Times New Roman" w:cs="Times New Roman"/>
          <w:sz w:val="24"/>
          <w:szCs w:val="24"/>
          <w:lang w:eastAsia="es-CO"/>
        </w:rPr>
        <w:t xml:space="preserve"> La designación del defensor del imputado deberá hacerse desde la captura, si hubiere lugar a ella, o desde la </w:t>
      </w:r>
      <w:r w:rsidR="0018050D" w:rsidRPr="00FA7E5C">
        <w:rPr>
          <w:rFonts w:ascii="Times New Roman" w:eastAsia="Times New Roman" w:hAnsi="Times New Roman" w:cs="Times New Roman"/>
          <w:sz w:val="24"/>
          <w:szCs w:val="24"/>
          <w:lang w:eastAsia="es-CO"/>
        </w:rPr>
        <w:t>acusación</w:t>
      </w:r>
      <w:r w:rsidRPr="00FA7E5C">
        <w:rPr>
          <w:rFonts w:ascii="Times New Roman" w:eastAsia="Times New Roman" w:hAnsi="Times New Roman" w:cs="Times New Roman"/>
          <w:sz w:val="24"/>
          <w:szCs w:val="24"/>
          <w:lang w:eastAsia="es-CO"/>
        </w:rPr>
        <w:t>. En todo caso deberá contar con este desde la primera audiencia a la que fuere citado.</w:t>
      </w:r>
    </w:p>
    <w:p w:rsidR="00A76971" w:rsidRPr="00FA7E5C" w:rsidRDefault="00A76971" w:rsidP="00A7697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El presunto implicado en una investigación podrá designar defensor desde la comunicación que de esa situación le haga la Fiscalía.</w:t>
      </w:r>
    </w:p>
    <w:p w:rsidR="00C230CE" w:rsidRPr="00FA7E5C" w:rsidRDefault="00C230CE" w:rsidP="00C230CE">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96.</w:t>
      </w:r>
      <w:r w:rsidRPr="00FA7E5C">
        <w:rPr>
          <w:rFonts w:ascii="Times New Roman" w:hAnsi="Times New Roman" w:cs="Times New Roman"/>
          <w:sz w:val="24"/>
          <w:szCs w:val="24"/>
        </w:rPr>
        <w:t> Modifíquese el artículo 126 del Código de Procedimiento Penal, el cual quedara así:</w:t>
      </w:r>
    </w:p>
    <w:p w:rsidR="00600D79" w:rsidRPr="00FA7E5C" w:rsidRDefault="00600D79" w:rsidP="00600D79">
      <w:pPr>
        <w:pStyle w:val="Sinespaciado"/>
        <w:jc w:val="both"/>
        <w:rPr>
          <w:rFonts w:ascii="Times New Roman" w:hAnsi="Times New Roman" w:cs="Times New Roman"/>
          <w:sz w:val="24"/>
          <w:szCs w:val="24"/>
          <w:u w:val="single"/>
        </w:rPr>
      </w:pPr>
    </w:p>
    <w:p w:rsidR="0018050D" w:rsidRPr="00FA7E5C" w:rsidRDefault="0018050D"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bCs/>
          <w:sz w:val="24"/>
          <w:szCs w:val="24"/>
        </w:rPr>
        <w:t>Artículo 126</w:t>
      </w:r>
      <w:r w:rsidRPr="00FA7E5C">
        <w:rPr>
          <w:rFonts w:ascii="Times New Roman" w:hAnsi="Times New Roman" w:cs="Times New Roman"/>
          <w:sz w:val="24"/>
          <w:szCs w:val="24"/>
        </w:rPr>
        <w:t xml:space="preserve">. </w:t>
      </w:r>
      <w:r w:rsidRPr="00FA7E5C">
        <w:rPr>
          <w:rFonts w:ascii="Times New Roman" w:hAnsi="Times New Roman" w:cs="Times New Roman"/>
          <w:i/>
          <w:iCs/>
          <w:sz w:val="24"/>
          <w:szCs w:val="24"/>
        </w:rPr>
        <w:t>Calificación.</w:t>
      </w:r>
      <w:r w:rsidRPr="00FA7E5C">
        <w:rPr>
          <w:rFonts w:ascii="Times New Roman" w:hAnsi="Times New Roman" w:cs="Times New Roman"/>
          <w:sz w:val="24"/>
          <w:szCs w:val="24"/>
        </w:rPr>
        <w:t xml:space="preserve"> El carácter de parte como imputado se adquiere desde su vinculación a la actuación mediante </w:t>
      </w:r>
      <w:r w:rsidRPr="00FA7E5C">
        <w:rPr>
          <w:rFonts w:ascii="Times New Roman" w:hAnsi="Times New Roman" w:cs="Times New Roman"/>
          <w:sz w:val="24"/>
          <w:szCs w:val="24"/>
          <w:u w:val="single"/>
        </w:rPr>
        <w:t>el acto de comunicación y vinculación</w:t>
      </w:r>
      <w:r w:rsidRPr="00FA7E5C">
        <w:rPr>
          <w:rFonts w:ascii="Times New Roman" w:hAnsi="Times New Roman" w:cs="Times New Roman"/>
          <w:sz w:val="24"/>
          <w:szCs w:val="24"/>
        </w:rPr>
        <w:t xml:space="preserve"> o desde la captura, si esta ocurriere primero. A partir de la presentación de la acusación adquirirá la condición de acusado.</w:t>
      </w:r>
    </w:p>
    <w:p w:rsidR="0018050D" w:rsidRPr="00FA7E5C" w:rsidRDefault="0018050D" w:rsidP="00600D79">
      <w:pPr>
        <w:pStyle w:val="Sinespaciado"/>
        <w:jc w:val="both"/>
        <w:rPr>
          <w:rFonts w:ascii="Times New Roman" w:hAnsi="Times New Roman" w:cs="Times New Roman"/>
          <w:sz w:val="24"/>
          <w:szCs w:val="24"/>
          <w:u w:val="single"/>
        </w:rPr>
      </w:pPr>
    </w:p>
    <w:p w:rsidR="00C230CE" w:rsidRPr="00FA7E5C" w:rsidRDefault="00C230CE" w:rsidP="00C230CE">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97.</w:t>
      </w:r>
      <w:r w:rsidRPr="00FA7E5C">
        <w:rPr>
          <w:rFonts w:ascii="Times New Roman" w:hAnsi="Times New Roman" w:cs="Times New Roman"/>
          <w:sz w:val="24"/>
          <w:szCs w:val="24"/>
        </w:rPr>
        <w:t> Modifíquese el artículo 127 del Código de Procedimiento Penal, el cual quedara así:</w:t>
      </w:r>
    </w:p>
    <w:p w:rsidR="0018050D" w:rsidRPr="00FA7E5C" w:rsidRDefault="0018050D" w:rsidP="0018050D">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 127</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Ausencia del imputado.</w:t>
      </w:r>
      <w:r w:rsidRPr="00FA7E5C">
        <w:rPr>
          <w:rFonts w:ascii="Times New Roman" w:eastAsia="Times New Roman" w:hAnsi="Times New Roman" w:cs="Times New Roman"/>
          <w:sz w:val="24"/>
          <w:szCs w:val="24"/>
          <w:lang w:eastAsia="es-CO"/>
        </w:rPr>
        <w:t xml:space="preserve"> Cuando al fiscal no le haya sido posible localizar a quien requiera para </w:t>
      </w:r>
      <w:r w:rsidRPr="00FA7E5C">
        <w:rPr>
          <w:rFonts w:ascii="Times New Roman" w:eastAsia="Times New Roman" w:hAnsi="Times New Roman" w:cs="Times New Roman"/>
          <w:sz w:val="24"/>
          <w:szCs w:val="24"/>
          <w:u w:val="single"/>
          <w:lang w:eastAsia="es-CO"/>
        </w:rPr>
        <w:t>comunicarle y vincularle a la actuación</w:t>
      </w:r>
      <w:r w:rsidRPr="00FA7E5C">
        <w:rPr>
          <w:rFonts w:ascii="Times New Roman" w:eastAsia="Times New Roman" w:hAnsi="Times New Roman" w:cs="Times New Roman"/>
          <w:sz w:val="24"/>
          <w:szCs w:val="24"/>
          <w:lang w:eastAsia="es-CO"/>
        </w:rPr>
        <w:t xml:space="preserve"> o tomar alguna medida de aseguramiento que lo afecte, solicitará ante el juez de control de garantías que lo declare persona ausente adjuntando los elementos de conocimiento que demuestren que ha insistido </w:t>
      </w:r>
      <w:r w:rsidRPr="00FA7E5C">
        <w:rPr>
          <w:rFonts w:ascii="Times New Roman" w:eastAsia="Times New Roman" w:hAnsi="Times New Roman" w:cs="Times New Roman"/>
          <w:sz w:val="24"/>
          <w:szCs w:val="24"/>
          <w:lang w:eastAsia="es-CO"/>
        </w:rPr>
        <w:lastRenderedPageBreak/>
        <w:t>en ubicarlo. El imputado se emplazará mediante edicto que se fijará en un lugar visible de la secretaría por el término de cinco (5) días hábiles y se publicará en un medio radial y de prensa de cobertura local.</w:t>
      </w:r>
    </w:p>
    <w:p w:rsidR="0018050D" w:rsidRPr="00FA7E5C" w:rsidRDefault="0018050D" w:rsidP="0018050D">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rsidR="0018050D" w:rsidRPr="00FA7E5C" w:rsidRDefault="0018050D" w:rsidP="0018050D">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El juez verificará que se hayan agotado mecanismos de búsqueda y citaciones suficientes y razonables para obtener la comparecencia del procesado.</w:t>
      </w:r>
    </w:p>
    <w:p w:rsidR="00D231B1" w:rsidRPr="00FA7E5C" w:rsidRDefault="00D231B1" w:rsidP="00D231B1">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98.</w:t>
      </w:r>
      <w:r w:rsidRPr="00FA7E5C">
        <w:rPr>
          <w:rFonts w:ascii="Times New Roman" w:hAnsi="Times New Roman" w:cs="Times New Roman"/>
          <w:sz w:val="24"/>
          <w:szCs w:val="24"/>
        </w:rPr>
        <w:t> Modifíquese el Parágrafo 1 del artículo 146 del Código de Procedimiento Penal, el cual quedara así:</w:t>
      </w:r>
    </w:p>
    <w:p w:rsidR="00E54DC2" w:rsidRPr="00FA7E5C" w:rsidRDefault="00E54DC2" w:rsidP="00600D79">
      <w:pPr>
        <w:pStyle w:val="Sinespaciado"/>
        <w:jc w:val="both"/>
        <w:rPr>
          <w:rFonts w:ascii="Times New Roman" w:hAnsi="Times New Roman" w:cs="Times New Roman"/>
          <w:sz w:val="24"/>
          <w:szCs w:val="24"/>
          <w:u w:val="single"/>
        </w:rPr>
      </w:pPr>
    </w:p>
    <w:p w:rsidR="00E54DC2" w:rsidRPr="00FA7E5C" w:rsidRDefault="00E54DC2"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bCs/>
          <w:sz w:val="24"/>
          <w:szCs w:val="24"/>
        </w:rPr>
        <w:t xml:space="preserve">Parágrafo. </w:t>
      </w:r>
      <w:r w:rsidRPr="00FA7E5C">
        <w:rPr>
          <w:rFonts w:ascii="Times New Roman" w:hAnsi="Times New Roman" w:cs="Times New Roman"/>
          <w:sz w:val="24"/>
          <w:szCs w:val="24"/>
        </w:rPr>
        <w:t xml:space="preserve">La conservación y archivo de los registros será responsabilidad de la Fiscalía General de la Nación durante la actuación previa a la formulación de la </w:t>
      </w:r>
      <w:r w:rsidRPr="00FA7E5C">
        <w:rPr>
          <w:rFonts w:ascii="Times New Roman" w:hAnsi="Times New Roman" w:cs="Times New Roman"/>
          <w:sz w:val="24"/>
          <w:szCs w:val="24"/>
          <w:u w:val="single"/>
        </w:rPr>
        <w:t>acusación</w:t>
      </w:r>
      <w:r w:rsidRPr="00FA7E5C">
        <w:rPr>
          <w:rFonts w:ascii="Times New Roman" w:hAnsi="Times New Roman" w:cs="Times New Roman"/>
          <w:sz w:val="24"/>
          <w:szCs w:val="24"/>
        </w:rPr>
        <w:t>. A partir de ella del secretario de las audiencias. En todo caso, los intervinientes tendrán derecho a la expedición de copias de los registros.</w:t>
      </w:r>
    </w:p>
    <w:p w:rsidR="00600D79" w:rsidRPr="00FA7E5C" w:rsidRDefault="00600D79" w:rsidP="00600D79">
      <w:pPr>
        <w:pStyle w:val="Sinespaciado"/>
        <w:jc w:val="both"/>
        <w:rPr>
          <w:rFonts w:ascii="Times New Roman" w:hAnsi="Times New Roman" w:cs="Times New Roman"/>
          <w:sz w:val="24"/>
          <w:szCs w:val="24"/>
          <w:u w:val="single"/>
        </w:rPr>
      </w:pPr>
    </w:p>
    <w:p w:rsidR="00D231B1" w:rsidRPr="00FA7E5C" w:rsidRDefault="00D231B1" w:rsidP="00600D79">
      <w:pPr>
        <w:pStyle w:val="Sinespaciado"/>
        <w:jc w:val="both"/>
        <w:rPr>
          <w:rFonts w:ascii="Times New Roman" w:hAnsi="Times New Roman" w:cs="Times New Roman"/>
          <w:sz w:val="24"/>
          <w:szCs w:val="24"/>
          <w:u w:val="single"/>
        </w:rPr>
      </w:pPr>
    </w:p>
    <w:p w:rsidR="00D231B1" w:rsidRPr="00FA7E5C" w:rsidRDefault="00D231B1" w:rsidP="00D231B1">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99.</w:t>
      </w:r>
      <w:r w:rsidRPr="00FA7E5C">
        <w:rPr>
          <w:rFonts w:ascii="Times New Roman" w:hAnsi="Times New Roman" w:cs="Times New Roman"/>
          <w:sz w:val="24"/>
          <w:szCs w:val="24"/>
        </w:rPr>
        <w:t xml:space="preserve"> Modifíquese el artículo </w:t>
      </w:r>
      <w:r w:rsidR="00E13AA2" w:rsidRPr="00FA7E5C">
        <w:rPr>
          <w:rFonts w:ascii="Times New Roman" w:hAnsi="Times New Roman" w:cs="Times New Roman"/>
          <w:sz w:val="24"/>
          <w:szCs w:val="24"/>
        </w:rPr>
        <w:t>201</w:t>
      </w:r>
      <w:r w:rsidRPr="00FA7E5C">
        <w:rPr>
          <w:rFonts w:ascii="Times New Roman" w:hAnsi="Times New Roman" w:cs="Times New Roman"/>
          <w:sz w:val="24"/>
          <w:szCs w:val="24"/>
        </w:rPr>
        <w:t xml:space="preserve"> del Código de Procedimiento Penal, el cual quedara así:</w:t>
      </w:r>
    </w:p>
    <w:p w:rsidR="00E54DC2" w:rsidRPr="00FA7E5C" w:rsidRDefault="00E54DC2" w:rsidP="00E54DC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w:t>
      </w:r>
      <w:r w:rsidRPr="00FA7E5C">
        <w:rPr>
          <w:rFonts w:ascii="Times New Roman" w:eastAsia="Times New Roman" w:hAnsi="Times New Roman" w:cs="Times New Roman"/>
          <w:sz w:val="24"/>
          <w:szCs w:val="24"/>
          <w:lang w:eastAsia="es-CO"/>
        </w:rPr>
        <w:t> </w:t>
      </w:r>
      <w:r w:rsidRPr="00FA7E5C">
        <w:rPr>
          <w:rFonts w:ascii="Times New Roman" w:eastAsia="Times New Roman" w:hAnsi="Times New Roman" w:cs="Times New Roman"/>
          <w:b/>
          <w:bCs/>
          <w:sz w:val="24"/>
          <w:szCs w:val="24"/>
          <w:lang w:eastAsia="es-CO"/>
        </w:rPr>
        <w:t>201</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Órganos de policía judicial permanente.</w:t>
      </w:r>
      <w:r w:rsidRPr="00FA7E5C">
        <w:rPr>
          <w:rFonts w:ascii="Times New Roman" w:eastAsia="Times New Roman" w:hAnsi="Times New Roman" w:cs="Times New Roman"/>
          <w:sz w:val="24"/>
          <w:szCs w:val="24"/>
          <w:lang w:eastAsia="es-CO"/>
        </w:rPr>
        <w:t xml:space="preserve"> Ejercen permanentemente las funciones de policía judicial los servidores investidos de esa función, pertenecientes al Cuerpo Técnico de Investigación de la Fiscalía General de la Nación, a la Policía Nacional, por intermedio de sus dependencias especializadas.</w:t>
      </w:r>
    </w:p>
    <w:p w:rsidR="00E54DC2" w:rsidRPr="00FA7E5C" w:rsidRDefault="00E54DC2" w:rsidP="00E54DC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 xml:space="preserve">Parágrafo. </w:t>
      </w:r>
      <w:r w:rsidRPr="00FA7E5C">
        <w:rPr>
          <w:rFonts w:ascii="Times New Roman" w:eastAsia="Times New Roman" w:hAnsi="Times New Roman" w:cs="Times New Roman"/>
          <w:bCs/>
          <w:sz w:val="24"/>
          <w:szCs w:val="24"/>
          <w:lang w:eastAsia="es-CO"/>
        </w:rPr>
        <w:t>En</w:t>
      </w:r>
      <w:r w:rsidRPr="00FA7E5C">
        <w:rPr>
          <w:rFonts w:ascii="Times New Roman" w:eastAsia="Times New Roman" w:hAnsi="Times New Roman" w:cs="Times New Roman"/>
          <w:sz w:val="24"/>
          <w:szCs w:val="24"/>
          <w:lang w:eastAsia="es-CO"/>
        </w:rPr>
        <w:t xml:space="preserve"> los lugares del territorio nacional donde no hubiere miembros de policía judicial de la Policía Nacional, estas funciones las podrá ejercer la Policía Nacional.</w:t>
      </w:r>
    </w:p>
    <w:p w:rsidR="00E13AA2" w:rsidRPr="00FA7E5C" w:rsidRDefault="00E13AA2" w:rsidP="00E13AA2">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100.</w:t>
      </w:r>
      <w:r w:rsidRPr="00FA7E5C">
        <w:rPr>
          <w:rFonts w:ascii="Times New Roman" w:hAnsi="Times New Roman" w:cs="Times New Roman"/>
          <w:sz w:val="24"/>
          <w:szCs w:val="24"/>
        </w:rPr>
        <w:t> Modifíquese el artículo 224 del Código de Procedimiento Penal, el cual quedara así:</w:t>
      </w:r>
    </w:p>
    <w:p w:rsidR="00185625" w:rsidRPr="00FA7E5C" w:rsidRDefault="00185625" w:rsidP="00600D79">
      <w:pPr>
        <w:pStyle w:val="Sinespaciado"/>
        <w:jc w:val="both"/>
        <w:rPr>
          <w:rFonts w:ascii="Times New Roman" w:hAnsi="Times New Roman" w:cs="Times New Roman"/>
          <w:sz w:val="24"/>
          <w:szCs w:val="24"/>
          <w:u w:val="single"/>
        </w:rPr>
      </w:pPr>
    </w:p>
    <w:p w:rsidR="00185625" w:rsidRPr="00FA7E5C" w:rsidRDefault="00185625" w:rsidP="00600D79">
      <w:pPr>
        <w:pStyle w:val="Sinespaciado"/>
        <w:jc w:val="both"/>
        <w:rPr>
          <w:rFonts w:ascii="Times New Roman" w:hAnsi="Times New Roman" w:cs="Times New Roman"/>
          <w:sz w:val="24"/>
          <w:szCs w:val="24"/>
        </w:rPr>
      </w:pPr>
      <w:r w:rsidRPr="00FA7E5C">
        <w:rPr>
          <w:rFonts w:ascii="Times New Roman" w:hAnsi="Times New Roman" w:cs="Times New Roman"/>
          <w:b/>
          <w:bCs/>
          <w:sz w:val="24"/>
          <w:szCs w:val="24"/>
        </w:rPr>
        <w:t>Artículo 224</w:t>
      </w:r>
      <w:r w:rsidRPr="00FA7E5C">
        <w:rPr>
          <w:rFonts w:ascii="Times New Roman" w:hAnsi="Times New Roman" w:cs="Times New Roman"/>
          <w:sz w:val="24"/>
          <w:szCs w:val="24"/>
        </w:rPr>
        <w:t xml:space="preserve">. </w:t>
      </w:r>
      <w:r w:rsidRPr="00FA7E5C">
        <w:rPr>
          <w:rFonts w:ascii="Times New Roman" w:hAnsi="Times New Roman" w:cs="Times New Roman"/>
          <w:i/>
          <w:iCs/>
          <w:sz w:val="24"/>
          <w:szCs w:val="24"/>
        </w:rPr>
        <w:t>Plazo de diligenciamiento de la orden de registro y allanamiento.</w:t>
      </w:r>
      <w:r w:rsidRPr="00FA7E5C">
        <w:rPr>
          <w:rFonts w:ascii="Times New Roman" w:hAnsi="Times New Roman" w:cs="Times New Roman"/>
          <w:sz w:val="24"/>
          <w:szCs w:val="24"/>
        </w:rPr>
        <w:t xml:space="preserve"> La orden de registro y allanamiento deberá ser diligenciada en un término máximo de treinta (30) días, si se trata de la indagación y de quince (15) días, si se trata de una que tenga lugar después </w:t>
      </w:r>
      <w:r w:rsidRPr="00FA7E5C">
        <w:rPr>
          <w:rFonts w:ascii="Times New Roman" w:hAnsi="Times New Roman" w:cs="Times New Roman"/>
          <w:sz w:val="24"/>
          <w:szCs w:val="24"/>
          <w:u w:val="single"/>
        </w:rPr>
        <w:t>del acto de comunicación y vinculación</w:t>
      </w:r>
      <w:r w:rsidRPr="00FA7E5C">
        <w:rPr>
          <w:rFonts w:ascii="Times New Roman" w:hAnsi="Times New Roman" w:cs="Times New Roman"/>
          <w:sz w:val="24"/>
          <w:szCs w:val="24"/>
        </w:rPr>
        <w:t>. En el evento de mediar razones que justifiquen una demora, el fiscal podrá, por una sola vez, prorrogarla hasta por el mismo tiempo.</w:t>
      </w:r>
    </w:p>
    <w:p w:rsidR="00E13AA2" w:rsidRPr="00FA7E5C" w:rsidRDefault="00E13AA2" w:rsidP="00600D79">
      <w:pPr>
        <w:pStyle w:val="Sinespaciado"/>
        <w:jc w:val="both"/>
        <w:rPr>
          <w:rFonts w:ascii="Times New Roman" w:hAnsi="Times New Roman" w:cs="Times New Roman"/>
          <w:sz w:val="24"/>
          <w:szCs w:val="24"/>
        </w:rPr>
      </w:pPr>
    </w:p>
    <w:p w:rsidR="00E13AA2" w:rsidRPr="00FA7E5C" w:rsidRDefault="00E13AA2" w:rsidP="00E13AA2">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101.</w:t>
      </w:r>
      <w:r w:rsidRPr="00FA7E5C">
        <w:rPr>
          <w:rFonts w:ascii="Times New Roman" w:hAnsi="Times New Roman" w:cs="Times New Roman"/>
          <w:sz w:val="24"/>
          <w:szCs w:val="24"/>
        </w:rPr>
        <w:t> Modifíquese el artículo 234 del Código de Procedimiento Penal, el cual quedara así:</w:t>
      </w:r>
    </w:p>
    <w:p w:rsidR="00BF77D9" w:rsidRPr="00FA7E5C" w:rsidRDefault="00BF77D9" w:rsidP="00BF77D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lastRenderedPageBreak/>
        <w:t>Artículo</w:t>
      </w:r>
      <w:r w:rsidRPr="00FA7E5C">
        <w:rPr>
          <w:rFonts w:ascii="Times New Roman" w:eastAsia="Times New Roman" w:hAnsi="Times New Roman" w:cs="Times New Roman"/>
          <w:sz w:val="24"/>
          <w:szCs w:val="24"/>
          <w:lang w:eastAsia="es-CO"/>
        </w:rPr>
        <w:t> </w:t>
      </w:r>
      <w:r w:rsidRPr="00FA7E5C">
        <w:rPr>
          <w:rFonts w:ascii="Times New Roman" w:eastAsia="Times New Roman" w:hAnsi="Times New Roman" w:cs="Times New Roman"/>
          <w:b/>
          <w:bCs/>
          <w:sz w:val="24"/>
          <w:szCs w:val="24"/>
          <w:lang w:eastAsia="es-CO"/>
        </w:rPr>
        <w:t>234</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Examen y devolución de la correspondencia.</w:t>
      </w:r>
      <w:r w:rsidRPr="00FA7E5C">
        <w:rPr>
          <w:rFonts w:ascii="Times New Roman" w:eastAsia="Times New Roman" w:hAnsi="Times New Roman" w:cs="Times New Roman"/>
          <w:sz w:val="24"/>
          <w:szCs w:val="24"/>
          <w:lang w:eastAsia="es-CO"/>
        </w:rPr>
        <w:t xml:space="preserve">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rsidR="00BF77D9" w:rsidRPr="00FA7E5C" w:rsidRDefault="00BF77D9" w:rsidP="00BF77D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Si se tratare de escritura en clave o en otro idioma, inmediatamente ordenará el desciframiento por peritos en criptografía, o su traducción.</w:t>
      </w:r>
    </w:p>
    <w:p w:rsidR="00BF77D9" w:rsidRPr="00FA7E5C" w:rsidRDefault="00BF77D9" w:rsidP="00BF77D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Si por este examen se descubriere información sobre otro delito, iniciará la indagación correspondiente o bajo custodia la enviará a quien la adelanta.</w:t>
      </w:r>
    </w:p>
    <w:p w:rsidR="00BF77D9" w:rsidRPr="00FA7E5C" w:rsidRDefault="00BF77D9" w:rsidP="00BF77D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Una vez formulada la </w:t>
      </w:r>
      <w:r w:rsidRPr="00FA7E5C">
        <w:rPr>
          <w:rFonts w:ascii="Times New Roman" w:eastAsia="Times New Roman" w:hAnsi="Times New Roman" w:cs="Times New Roman"/>
          <w:sz w:val="24"/>
          <w:szCs w:val="24"/>
          <w:u w:val="single"/>
          <w:lang w:eastAsia="es-CO"/>
        </w:rPr>
        <w:t>acusación</w:t>
      </w:r>
      <w:r w:rsidRPr="00FA7E5C">
        <w:rPr>
          <w:rFonts w:ascii="Times New Roman" w:eastAsia="Times New Roman" w:hAnsi="Times New Roman" w:cs="Times New Roman"/>
          <w:sz w:val="24"/>
          <w:szCs w:val="24"/>
          <w:lang w:eastAsia="es-CO"/>
        </w:rPr>
        <w:t>, o vencido el término fijado en el artículo</w:t>
      </w:r>
      <w:r w:rsidRPr="00FA7E5C">
        <w:rPr>
          <w:rFonts w:ascii="Times New Roman" w:eastAsia="Times New Roman" w:hAnsi="Times New Roman" w:cs="Times New Roman"/>
          <w:b/>
          <w:bCs/>
          <w:sz w:val="24"/>
          <w:szCs w:val="24"/>
          <w:lang w:eastAsia="es-CO"/>
        </w:rPr>
        <w:t xml:space="preserve"> </w:t>
      </w:r>
      <w:r w:rsidRPr="00FA7E5C">
        <w:rPr>
          <w:rFonts w:ascii="Times New Roman" w:eastAsia="Times New Roman" w:hAnsi="Times New Roman" w:cs="Times New Roman"/>
          <w:sz w:val="24"/>
          <w:szCs w:val="24"/>
          <w:lang w:eastAsia="es-CO"/>
        </w:rPr>
        <w:t>anterior, la policía judicial devolverá la correspondencia retenida que no resulte de interés para los fines de la investigación.</w:t>
      </w:r>
    </w:p>
    <w:p w:rsidR="00BF77D9" w:rsidRPr="00FA7E5C" w:rsidRDefault="00BF77D9" w:rsidP="00BF77D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Lo anterior no será obstáculo para que pueda ser devuelta con anticipación la correspondencia examinada, cuya apariencia no se hubiera alterado, con el objeto de no suscitar la atención del indiciado o imputado.</w:t>
      </w:r>
    </w:p>
    <w:p w:rsidR="00185625" w:rsidRPr="00FA7E5C" w:rsidRDefault="00185625" w:rsidP="00600D79">
      <w:pPr>
        <w:pStyle w:val="Sinespaciado"/>
        <w:jc w:val="both"/>
        <w:rPr>
          <w:rFonts w:ascii="Times New Roman" w:hAnsi="Times New Roman" w:cs="Times New Roman"/>
          <w:sz w:val="24"/>
          <w:szCs w:val="24"/>
          <w:u w:val="single"/>
        </w:rPr>
      </w:pPr>
    </w:p>
    <w:p w:rsidR="00BF77D9" w:rsidRPr="00FA7E5C" w:rsidRDefault="00BF77D9" w:rsidP="00600D79">
      <w:pPr>
        <w:pStyle w:val="Sinespaciado"/>
        <w:jc w:val="both"/>
        <w:rPr>
          <w:rFonts w:ascii="Times New Roman" w:hAnsi="Times New Roman" w:cs="Times New Roman"/>
          <w:sz w:val="24"/>
          <w:szCs w:val="24"/>
          <w:u w:val="single"/>
        </w:rPr>
      </w:pPr>
    </w:p>
    <w:p w:rsidR="00600D79" w:rsidRPr="00FA7E5C" w:rsidRDefault="00600D79" w:rsidP="00600D79">
      <w:pPr>
        <w:pStyle w:val="Sinespaciado"/>
        <w:jc w:val="both"/>
        <w:rPr>
          <w:rFonts w:ascii="Times New Roman" w:hAnsi="Times New Roman" w:cs="Times New Roman"/>
          <w:sz w:val="24"/>
          <w:szCs w:val="24"/>
          <w:u w:val="single"/>
        </w:rPr>
      </w:pPr>
    </w:p>
    <w:p w:rsidR="00206753" w:rsidRPr="00FA7E5C" w:rsidRDefault="00206753" w:rsidP="00206753">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102.</w:t>
      </w:r>
      <w:r w:rsidRPr="00FA7E5C">
        <w:rPr>
          <w:rFonts w:ascii="Times New Roman" w:hAnsi="Times New Roman" w:cs="Times New Roman"/>
          <w:sz w:val="24"/>
          <w:szCs w:val="24"/>
        </w:rPr>
        <w:t> Modifíquese el artículo 290 del Código de Procedimiento Penal, el cual quedara así:</w:t>
      </w:r>
    </w:p>
    <w:p w:rsidR="00600D79" w:rsidRPr="00FA7E5C" w:rsidRDefault="00600D79" w:rsidP="00600D79">
      <w:pPr>
        <w:pStyle w:val="Sinespaciado"/>
        <w:jc w:val="both"/>
        <w:rPr>
          <w:rFonts w:ascii="Times New Roman" w:hAnsi="Times New Roman" w:cs="Times New Roman"/>
          <w:sz w:val="24"/>
          <w:szCs w:val="24"/>
          <w:u w:val="single"/>
        </w:rPr>
      </w:pPr>
    </w:p>
    <w:p w:rsidR="00E32307" w:rsidRPr="00FA7E5C" w:rsidRDefault="00E32307" w:rsidP="00600D79">
      <w:pPr>
        <w:pStyle w:val="Sinespaciado"/>
        <w:jc w:val="both"/>
        <w:rPr>
          <w:rFonts w:ascii="Times New Roman" w:hAnsi="Times New Roman" w:cs="Times New Roman"/>
          <w:sz w:val="24"/>
          <w:szCs w:val="24"/>
        </w:rPr>
      </w:pPr>
      <w:r w:rsidRPr="00FA7E5C">
        <w:rPr>
          <w:rFonts w:ascii="Times New Roman" w:hAnsi="Times New Roman" w:cs="Times New Roman"/>
          <w:b/>
          <w:bCs/>
          <w:sz w:val="24"/>
          <w:szCs w:val="24"/>
        </w:rPr>
        <w:t>Artículo</w:t>
      </w:r>
      <w:r w:rsidRPr="00FA7E5C">
        <w:rPr>
          <w:rFonts w:ascii="Times New Roman" w:hAnsi="Times New Roman" w:cs="Times New Roman"/>
          <w:sz w:val="24"/>
          <w:szCs w:val="24"/>
        </w:rPr>
        <w:t> </w:t>
      </w:r>
      <w:r w:rsidRPr="00FA7E5C">
        <w:rPr>
          <w:rFonts w:ascii="Times New Roman" w:hAnsi="Times New Roman" w:cs="Times New Roman"/>
          <w:b/>
          <w:bCs/>
          <w:sz w:val="24"/>
          <w:szCs w:val="24"/>
        </w:rPr>
        <w:t>290</w:t>
      </w:r>
      <w:r w:rsidRPr="00FA7E5C">
        <w:rPr>
          <w:rFonts w:ascii="Times New Roman" w:hAnsi="Times New Roman" w:cs="Times New Roman"/>
          <w:sz w:val="24"/>
          <w:szCs w:val="24"/>
        </w:rPr>
        <w:t xml:space="preserve">. </w:t>
      </w:r>
      <w:r w:rsidRPr="00FA7E5C">
        <w:rPr>
          <w:rFonts w:ascii="Times New Roman" w:hAnsi="Times New Roman" w:cs="Times New Roman"/>
          <w:i/>
          <w:iCs/>
          <w:sz w:val="24"/>
          <w:szCs w:val="24"/>
        </w:rPr>
        <w:t>Derecho de defensa</w:t>
      </w:r>
      <w:r w:rsidRPr="00FA7E5C">
        <w:rPr>
          <w:rFonts w:ascii="Times New Roman" w:hAnsi="Times New Roman" w:cs="Times New Roman"/>
          <w:sz w:val="24"/>
          <w:szCs w:val="24"/>
        </w:rPr>
        <w:t xml:space="preserve">. Con </w:t>
      </w:r>
      <w:r w:rsidRPr="00FA7E5C">
        <w:rPr>
          <w:rFonts w:ascii="Times New Roman" w:hAnsi="Times New Roman" w:cs="Times New Roman"/>
          <w:sz w:val="24"/>
          <w:szCs w:val="24"/>
          <w:u w:val="single"/>
        </w:rPr>
        <w:t>el acto de comunicación y vinculación</w:t>
      </w:r>
      <w:r w:rsidRPr="00FA7E5C">
        <w:rPr>
          <w:rFonts w:ascii="Times New Roman" w:hAnsi="Times New Roman" w:cs="Times New Roman"/>
          <w:sz w:val="24"/>
          <w:szCs w:val="24"/>
        </w:rPr>
        <w:t xml:space="preserve"> la defensa podrá preparar de modo eficaz su actividad procesal, sin que ello implique la solicitud de práctica de pruebas, salvo las excepciones reconocidas en este código.</w:t>
      </w:r>
    </w:p>
    <w:p w:rsidR="00E32307" w:rsidRPr="00FA7E5C" w:rsidRDefault="00E32307" w:rsidP="00600D79">
      <w:pPr>
        <w:pStyle w:val="Sinespaciado"/>
        <w:jc w:val="both"/>
        <w:rPr>
          <w:rFonts w:ascii="Times New Roman" w:hAnsi="Times New Roman" w:cs="Times New Roman"/>
          <w:sz w:val="24"/>
          <w:szCs w:val="24"/>
          <w:u w:val="single"/>
        </w:rPr>
      </w:pPr>
    </w:p>
    <w:p w:rsidR="00206753" w:rsidRPr="00FA7E5C" w:rsidRDefault="00206753" w:rsidP="00206753">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103.</w:t>
      </w:r>
      <w:r w:rsidRPr="00FA7E5C">
        <w:rPr>
          <w:rFonts w:ascii="Times New Roman" w:hAnsi="Times New Roman" w:cs="Times New Roman"/>
          <w:sz w:val="24"/>
          <w:szCs w:val="24"/>
        </w:rPr>
        <w:t> Modifíquese el artículo 351 del Código de Procedimiento Penal, el cual quedara así:</w:t>
      </w:r>
    </w:p>
    <w:p w:rsidR="000D5988" w:rsidRPr="00FA7E5C" w:rsidRDefault="000D5988" w:rsidP="000D5988">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 351</w:t>
      </w:r>
      <w:r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i/>
          <w:iCs/>
          <w:sz w:val="24"/>
          <w:szCs w:val="24"/>
          <w:lang w:eastAsia="es-CO"/>
        </w:rPr>
        <w:t>Modalidades.</w:t>
      </w:r>
      <w:r w:rsidRPr="00FA7E5C">
        <w:rPr>
          <w:rFonts w:ascii="Times New Roman" w:eastAsia="Times New Roman" w:hAnsi="Times New Roman" w:cs="Times New Roman"/>
          <w:sz w:val="24"/>
          <w:szCs w:val="24"/>
          <w:lang w:eastAsia="es-CO"/>
        </w:rPr>
        <w:t xml:space="preserve"> La aceptación de los cargos determinados en la </w:t>
      </w:r>
      <w:r w:rsidRPr="00FA7E5C">
        <w:rPr>
          <w:rFonts w:ascii="Times New Roman" w:eastAsia="Times New Roman" w:hAnsi="Times New Roman" w:cs="Times New Roman"/>
          <w:sz w:val="24"/>
          <w:szCs w:val="24"/>
          <w:u w:val="single"/>
          <w:lang w:eastAsia="es-CO"/>
        </w:rPr>
        <w:t>comunicación de la imputación</w:t>
      </w:r>
      <w:r w:rsidRPr="00FA7E5C">
        <w:rPr>
          <w:rFonts w:ascii="Times New Roman" w:eastAsia="Times New Roman" w:hAnsi="Times New Roman" w:cs="Times New Roman"/>
          <w:sz w:val="24"/>
          <w:szCs w:val="24"/>
          <w:lang w:eastAsia="es-CO"/>
        </w:rPr>
        <w:t>, comporta una rebaja hasta de la mitad de la pena imponible, acuerdo que se consignará en el escrito de acusación.</w:t>
      </w:r>
    </w:p>
    <w:p w:rsidR="000D5988" w:rsidRPr="00FA7E5C" w:rsidRDefault="000D5988" w:rsidP="000D5988">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rsidR="000D5988" w:rsidRPr="00FA7E5C" w:rsidRDefault="000D5988" w:rsidP="000D5988">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el evento que la Fiscalía, por causa de nuevos elementos cognoscitivos, proyecte formular cargos distintos y más gravosos a los consignados en la </w:t>
      </w:r>
      <w:r w:rsidRPr="00FA7E5C">
        <w:rPr>
          <w:rFonts w:ascii="Times New Roman" w:eastAsia="Times New Roman" w:hAnsi="Times New Roman" w:cs="Times New Roman"/>
          <w:sz w:val="24"/>
          <w:szCs w:val="24"/>
          <w:u w:val="single"/>
          <w:lang w:eastAsia="es-CO"/>
        </w:rPr>
        <w:t>comunicación de la imputación</w:t>
      </w:r>
      <w:r w:rsidRPr="00FA7E5C">
        <w:rPr>
          <w:rFonts w:ascii="Times New Roman" w:eastAsia="Times New Roman" w:hAnsi="Times New Roman" w:cs="Times New Roman"/>
          <w:sz w:val="24"/>
          <w:szCs w:val="24"/>
          <w:lang w:eastAsia="es-CO"/>
        </w:rPr>
        <w:t>, los preacuerdos deben referirse a esta nueva y posible imputación.</w:t>
      </w:r>
    </w:p>
    <w:p w:rsidR="000D5988" w:rsidRPr="00FA7E5C" w:rsidRDefault="000D5988" w:rsidP="000D5988">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lastRenderedPageBreak/>
        <w:t>Los preacuerdos celebrados entre Fiscalía y acusado obligan al juez de conocimiento, salvo que ellos desconozcan o quebranten las garantías fundamentales.</w:t>
      </w:r>
    </w:p>
    <w:p w:rsidR="000D5988" w:rsidRPr="00FA7E5C" w:rsidRDefault="000D5988" w:rsidP="000D5988">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Aprobados los preacuerdos por el juez, procederá a convocar la audiencia para dictar la sentencia correspondiente.</w:t>
      </w:r>
    </w:p>
    <w:p w:rsidR="00E32307" w:rsidRPr="00FA7E5C" w:rsidRDefault="000D5988" w:rsidP="00504F3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Las reparaciones efectivas a la víctima que puedan resultar de los preacuerdos entre fiscal e imputado o acusado, pueden aceptarse por la víctima. En caso de rehusarlos, esta podrá acudir a las vías judiciales pertinentes.</w:t>
      </w:r>
    </w:p>
    <w:p w:rsidR="00504F30" w:rsidRPr="00FA7E5C" w:rsidRDefault="00504F30" w:rsidP="00504F30">
      <w:pPr>
        <w:pStyle w:val="NormalWeb"/>
        <w:rPr>
          <w:u w:val="single"/>
        </w:rPr>
      </w:pPr>
      <w:proofErr w:type="gramStart"/>
      <w:r w:rsidRPr="00FA7E5C">
        <w:rPr>
          <w:b/>
          <w:u w:val="single"/>
        </w:rPr>
        <w:t>Articulo</w:t>
      </w:r>
      <w:proofErr w:type="gramEnd"/>
      <w:r w:rsidRPr="00FA7E5C">
        <w:rPr>
          <w:b/>
          <w:u w:val="single"/>
        </w:rPr>
        <w:t xml:space="preserve"> 103</w:t>
      </w:r>
      <w:r w:rsidRPr="00FA7E5C">
        <w:rPr>
          <w:u w:val="single"/>
        </w:rPr>
        <w:t xml:space="preserve"> </w:t>
      </w:r>
      <w:r w:rsidRPr="00FA7E5C">
        <w:t>Modifíquese el artículo 317 del Código de Procedimiento Penal (Ley 906 del 2004), el cual quedara así:</w:t>
      </w:r>
    </w:p>
    <w:p w:rsidR="00504F30" w:rsidRPr="00FA7E5C" w:rsidRDefault="00504F30" w:rsidP="00504F30">
      <w:pPr>
        <w:pStyle w:val="NormalWeb"/>
      </w:pPr>
      <w:r w:rsidRPr="00FA7E5C">
        <w:rPr>
          <w:b/>
          <w:bCs/>
        </w:rPr>
        <w:t>Artículo 317</w:t>
      </w:r>
      <w:r w:rsidRPr="00FA7E5C">
        <w:t xml:space="preserve">. </w:t>
      </w:r>
      <w:r w:rsidRPr="00FA7E5C">
        <w:rPr>
          <w:i/>
          <w:iCs/>
        </w:rPr>
        <w:t>Causales de libertad.</w:t>
      </w:r>
      <w:r w:rsidRPr="00FA7E5C">
        <w:t>   Las medidas de aseguramiento indicadas en los anteriores artículos tendrán vigencia durante toda la actuación. La libertad del imputado o acusado se cumplirá de inmediato y solo procederá en los siguientes eventos:</w:t>
      </w:r>
    </w:p>
    <w:p w:rsidR="00504F30" w:rsidRPr="00FA7E5C" w:rsidRDefault="00504F30" w:rsidP="00504F30">
      <w:pPr>
        <w:pStyle w:val="NormalWeb"/>
      </w:pPr>
      <w:r w:rsidRPr="00FA7E5C">
        <w:t>1. Cuando se haya cumplido la pena según la determinación anticipada que para este efecto se haga, o se haya decretado la preclusión, o se haya absuelto al acusado.</w:t>
      </w:r>
    </w:p>
    <w:p w:rsidR="00504F30" w:rsidRPr="00FA7E5C" w:rsidRDefault="00504F30" w:rsidP="00504F30">
      <w:pPr>
        <w:pStyle w:val="NormalWeb"/>
      </w:pPr>
      <w:r w:rsidRPr="00FA7E5C">
        <w:t>2. Como consecuencia de la aplicación del principio de oportunidad.</w:t>
      </w:r>
    </w:p>
    <w:p w:rsidR="00504F30" w:rsidRPr="00FA7E5C" w:rsidRDefault="00504F30" w:rsidP="00504F30">
      <w:pPr>
        <w:pStyle w:val="NormalWeb"/>
      </w:pPr>
      <w:r w:rsidRPr="00FA7E5C">
        <w:t>3. Como consecuencia de las cláusulas del acuerdo cuando haya sido aceptado por el juez de conocimiento.</w:t>
      </w:r>
    </w:p>
    <w:p w:rsidR="00504F30" w:rsidRPr="00FA7E5C" w:rsidRDefault="00504F30" w:rsidP="00504F30">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4. Cuando transcurridos sesenta (60) días contados a partir de la fecha de la formulación de </w:t>
      </w:r>
      <w:r w:rsidRPr="00FA7E5C">
        <w:rPr>
          <w:rFonts w:ascii="Times New Roman" w:hAnsi="Times New Roman" w:cs="Times New Roman"/>
          <w:sz w:val="24"/>
          <w:szCs w:val="24"/>
          <w:u w:val="single"/>
        </w:rPr>
        <w:t>legalización de la captura o de solicitud de imposición de medida de aseguramiento”.</w:t>
      </w:r>
    </w:p>
    <w:p w:rsidR="00504F30" w:rsidRPr="00FA7E5C" w:rsidRDefault="00504F30" w:rsidP="00504F30">
      <w:pPr>
        <w:pStyle w:val="NormalWeb"/>
      </w:pPr>
      <w:proofErr w:type="gramStart"/>
      <w:r w:rsidRPr="00FA7E5C">
        <w:t>no</w:t>
      </w:r>
      <w:proofErr w:type="gramEnd"/>
      <w:r w:rsidRPr="00FA7E5C">
        <w:t xml:space="preserve"> se hubiere presentado la acusación o solicitado la preclusión, conforme a lo dispuesto en el artículo 294.</w:t>
      </w:r>
    </w:p>
    <w:p w:rsidR="00504F30" w:rsidRPr="00FA7E5C" w:rsidRDefault="00504F30" w:rsidP="00504F30">
      <w:pPr>
        <w:pStyle w:val="NormalWeb"/>
      </w:pPr>
      <w:r w:rsidRPr="00FA7E5C">
        <w:t xml:space="preserve">5. Cuando transcurridos sesenta (60) días contados a partir de la fecha de </w:t>
      </w:r>
      <w:r w:rsidRPr="00FA7E5C">
        <w:rPr>
          <w:u w:val="single"/>
        </w:rPr>
        <w:t>la formulación de la acusación</w:t>
      </w:r>
      <w:r w:rsidRPr="00FA7E5C">
        <w:t>, no se haya dado inicio a la audiencia a de juicio oral.</w:t>
      </w:r>
    </w:p>
    <w:p w:rsidR="00206753" w:rsidRPr="00FA7E5C" w:rsidRDefault="00206753" w:rsidP="00600D79">
      <w:pPr>
        <w:pStyle w:val="Sinespaciado"/>
        <w:jc w:val="both"/>
        <w:rPr>
          <w:rFonts w:ascii="Times New Roman" w:hAnsi="Times New Roman" w:cs="Times New Roman"/>
          <w:sz w:val="24"/>
          <w:szCs w:val="24"/>
          <w:u w:val="single"/>
        </w:rPr>
      </w:pPr>
    </w:p>
    <w:p w:rsidR="00206753" w:rsidRPr="00FA7E5C" w:rsidRDefault="00206753" w:rsidP="00206753">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ARTÍCULO 104.</w:t>
      </w:r>
      <w:r w:rsidRPr="00FA7E5C">
        <w:rPr>
          <w:rFonts w:ascii="Times New Roman" w:hAnsi="Times New Roman" w:cs="Times New Roman"/>
          <w:sz w:val="24"/>
          <w:szCs w:val="24"/>
        </w:rPr>
        <w:t> Modifíquese el artículo 86 del Código Penal (Ley 599 del 2000), el cual quedara así:</w:t>
      </w:r>
    </w:p>
    <w:p w:rsidR="00206753" w:rsidRPr="00FA7E5C" w:rsidRDefault="00206753" w:rsidP="00600D79">
      <w:pPr>
        <w:pStyle w:val="Sinespaciado"/>
        <w:jc w:val="both"/>
        <w:rPr>
          <w:rFonts w:ascii="Times New Roman" w:hAnsi="Times New Roman" w:cs="Times New Roman"/>
          <w:sz w:val="24"/>
          <w:szCs w:val="24"/>
          <w:u w:val="single"/>
        </w:rPr>
      </w:pPr>
    </w:p>
    <w:p w:rsidR="002B2457" w:rsidRPr="00FA7E5C" w:rsidRDefault="002B2457" w:rsidP="002B2457">
      <w:pPr>
        <w:pStyle w:val="Sinespaciad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Artículo</w:t>
      </w:r>
      <w:r w:rsidRPr="00FA7E5C">
        <w:rPr>
          <w:rFonts w:ascii="Times New Roman" w:eastAsia="Times New Roman" w:hAnsi="Times New Roman" w:cs="Times New Roman"/>
          <w:sz w:val="24"/>
          <w:szCs w:val="24"/>
          <w:lang w:eastAsia="es-CO"/>
        </w:rPr>
        <w:t> </w:t>
      </w:r>
      <w:r w:rsidRPr="00FA7E5C">
        <w:rPr>
          <w:rFonts w:ascii="Times New Roman" w:eastAsia="Times New Roman" w:hAnsi="Times New Roman" w:cs="Times New Roman"/>
          <w:b/>
          <w:bCs/>
          <w:sz w:val="24"/>
          <w:szCs w:val="24"/>
          <w:lang w:eastAsia="es-CO"/>
        </w:rPr>
        <w:t>86.</w:t>
      </w:r>
      <w:r w:rsidRPr="00FA7E5C">
        <w:rPr>
          <w:rFonts w:ascii="Times New Roman" w:eastAsia="Times New Roman" w:hAnsi="Times New Roman" w:cs="Times New Roman"/>
          <w:sz w:val="24"/>
          <w:szCs w:val="24"/>
          <w:lang w:eastAsia="es-CO"/>
        </w:rPr>
        <w:t> </w:t>
      </w:r>
      <w:r w:rsidRPr="00FA7E5C">
        <w:rPr>
          <w:rFonts w:ascii="Times New Roman" w:eastAsia="Times New Roman" w:hAnsi="Times New Roman" w:cs="Times New Roman"/>
          <w:i/>
          <w:iCs/>
          <w:sz w:val="24"/>
          <w:szCs w:val="24"/>
          <w:lang w:eastAsia="es-CO"/>
        </w:rPr>
        <w:t>Interrupción y suspensión del término prescriptivo de la acción</w:t>
      </w:r>
      <w:r w:rsidRPr="00FA7E5C">
        <w:rPr>
          <w:rFonts w:ascii="Times New Roman" w:eastAsia="Times New Roman" w:hAnsi="Times New Roman" w:cs="Times New Roman"/>
          <w:sz w:val="24"/>
          <w:szCs w:val="24"/>
          <w:lang w:eastAsia="es-CO"/>
        </w:rPr>
        <w:t>.</w:t>
      </w:r>
    </w:p>
    <w:p w:rsidR="002B2457" w:rsidRPr="00FA7E5C" w:rsidRDefault="002B2457" w:rsidP="002B2457">
      <w:pPr>
        <w:pStyle w:val="Sinespaciado"/>
        <w:jc w:val="both"/>
        <w:rPr>
          <w:rFonts w:ascii="Times New Roman" w:hAnsi="Times New Roman" w:cs="Times New Roman"/>
          <w:sz w:val="24"/>
          <w:szCs w:val="24"/>
          <w:u w:val="single"/>
        </w:rPr>
      </w:pPr>
      <w:r w:rsidRPr="00FA7E5C">
        <w:rPr>
          <w:rFonts w:ascii="Times New Roman" w:hAnsi="Times New Roman" w:cs="Times New Roman"/>
          <w:sz w:val="24"/>
          <w:szCs w:val="24"/>
        </w:rPr>
        <w:t xml:space="preserve">La prescripción de la acción penal se interrumpe con la </w:t>
      </w:r>
      <w:r w:rsidRPr="00FA7E5C">
        <w:rPr>
          <w:rFonts w:ascii="Times New Roman" w:hAnsi="Times New Roman" w:cs="Times New Roman"/>
          <w:sz w:val="24"/>
          <w:szCs w:val="24"/>
          <w:u w:val="single"/>
        </w:rPr>
        <w:t>comunicación</w:t>
      </w:r>
      <w:r w:rsidRPr="00FA7E5C">
        <w:rPr>
          <w:rFonts w:ascii="Times New Roman" w:hAnsi="Times New Roman" w:cs="Times New Roman"/>
          <w:sz w:val="24"/>
          <w:szCs w:val="24"/>
        </w:rPr>
        <w:t xml:space="preserve"> de la imputación".</w:t>
      </w:r>
    </w:p>
    <w:p w:rsidR="002B2457" w:rsidRPr="00FA7E5C" w:rsidRDefault="002B2457" w:rsidP="002B2457">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Producida la interrupción del término prescriptivo, éste comenzará a correr de nuevo por un tiempo igual a la mitad del señalado en el artículo 83. En este evento el término no podrá ser inferior a cinco (5) años, ni superior a diez (10).</w:t>
      </w:r>
    </w:p>
    <w:p w:rsidR="00504F30" w:rsidRPr="00FA7E5C" w:rsidRDefault="00504F30" w:rsidP="00504F30">
      <w:pPr>
        <w:pStyle w:val="Sinespaciado"/>
        <w:jc w:val="both"/>
        <w:rPr>
          <w:rFonts w:ascii="Times New Roman" w:hAnsi="Times New Roman" w:cs="Times New Roman"/>
          <w:sz w:val="24"/>
          <w:szCs w:val="24"/>
        </w:rPr>
      </w:pPr>
      <w:r w:rsidRPr="00FA7E5C">
        <w:rPr>
          <w:rFonts w:ascii="Times New Roman" w:hAnsi="Times New Roman" w:cs="Times New Roman"/>
          <w:b/>
          <w:sz w:val="24"/>
          <w:szCs w:val="24"/>
        </w:rPr>
        <w:t>Articulo 105</w:t>
      </w:r>
      <w:r w:rsidR="00932DA4" w:rsidRPr="00FA7E5C">
        <w:rPr>
          <w:rFonts w:ascii="Times New Roman" w:hAnsi="Times New Roman" w:cs="Times New Roman"/>
          <w:b/>
          <w:sz w:val="24"/>
          <w:szCs w:val="24"/>
        </w:rPr>
        <w:t xml:space="preserve">. </w:t>
      </w:r>
      <w:r w:rsidRPr="00FA7E5C">
        <w:rPr>
          <w:rFonts w:ascii="Times New Roman" w:hAnsi="Times New Roman" w:cs="Times New Roman"/>
          <w:sz w:val="24"/>
          <w:szCs w:val="24"/>
        </w:rPr>
        <w:t>Modifíquese el artículo 237 del Código de Procedimiento Penal (Ley 906 del 2004), el cual quedara así:</w:t>
      </w:r>
    </w:p>
    <w:p w:rsidR="00504F30" w:rsidRPr="00FA7E5C" w:rsidRDefault="00504F30" w:rsidP="00504F30">
      <w:pPr>
        <w:pStyle w:val="Sinespaciado"/>
        <w:jc w:val="both"/>
        <w:rPr>
          <w:rFonts w:ascii="Times New Roman" w:hAnsi="Times New Roman" w:cs="Times New Roman"/>
          <w:sz w:val="24"/>
          <w:szCs w:val="24"/>
        </w:rPr>
      </w:pPr>
    </w:p>
    <w:p w:rsidR="00504F30" w:rsidRPr="00FA7E5C" w:rsidRDefault="00504F30" w:rsidP="00504F30">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lastRenderedPageBreak/>
        <w:t>Artículo 237. Audiencia de control de legalidad posterior.  Dentro de las veinticuatro (24) horas siguientes al diligenciamiento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w:t>
      </w:r>
    </w:p>
    <w:p w:rsidR="00504F30" w:rsidRPr="00FA7E5C" w:rsidRDefault="00504F30" w:rsidP="00504F30">
      <w:pPr>
        <w:pStyle w:val="Sinespaciado"/>
        <w:jc w:val="both"/>
        <w:rPr>
          <w:rFonts w:ascii="Times New Roman" w:hAnsi="Times New Roman" w:cs="Times New Roman"/>
          <w:sz w:val="24"/>
          <w:szCs w:val="24"/>
        </w:rPr>
      </w:pPr>
    </w:p>
    <w:p w:rsidR="00504F30" w:rsidRPr="00FA7E5C" w:rsidRDefault="00504F30" w:rsidP="00504F30">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Durante el trámite de la audiencia sólo podrán asistir, además del fiscal, los funcionarios de la policía judicial y los testigos o peritos que prestaron declaraciones juradas con el fin de obtener la orden respectiva, o que intervinieron en la diligencia.</w:t>
      </w:r>
    </w:p>
    <w:p w:rsidR="00F37FF8" w:rsidRPr="00FA7E5C" w:rsidRDefault="00F37FF8" w:rsidP="00504F30">
      <w:pPr>
        <w:pStyle w:val="Sinespaciado"/>
        <w:jc w:val="both"/>
        <w:rPr>
          <w:rFonts w:ascii="Times New Roman" w:hAnsi="Times New Roman" w:cs="Times New Roman"/>
          <w:sz w:val="24"/>
          <w:szCs w:val="24"/>
        </w:rPr>
      </w:pPr>
    </w:p>
    <w:p w:rsidR="00504F30" w:rsidRPr="00FA7E5C" w:rsidRDefault="00504F30" w:rsidP="00504F30">
      <w:pPr>
        <w:pStyle w:val="Sinespaciado"/>
        <w:jc w:val="both"/>
        <w:rPr>
          <w:rFonts w:ascii="Times New Roman" w:hAnsi="Times New Roman" w:cs="Times New Roman"/>
          <w:sz w:val="24"/>
          <w:szCs w:val="24"/>
        </w:rPr>
      </w:pPr>
    </w:p>
    <w:p w:rsidR="00504F30" w:rsidRPr="00FA7E5C" w:rsidRDefault="00504F30" w:rsidP="00504F30">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El juez podrá, si lo estima conveniente, interrogar directamente a los comparecientes y, después de escuchar los argumentos del fiscal, decidirá de plano sobre la validez del procedimiento.</w:t>
      </w:r>
    </w:p>
    <w:p w:rsidR="00504F30" w:rsidRPr="00FA7E5C" w:rsidRDefault="00504F30" w:rsidP="00504F30">
      <w:pPr>
        <w:pStyle w:val="Sinespaciado"/>
        <w:jc w:val="both"/>
        <w:rPr>
          <w:rFonts w:ascii="Times New Roman" w:hAnsi="Times New Roman" w:cs="Times New Roman"/>
          <w:sz w:val="24"/>
          <w:szCs w:val="24"/>
        </w:rPr>
      </w:pPr>
    </w:p>
    <w:p w:rsidR="00504F30" w:rsidRPr="00FA7E5C" w:rsidRDefault="00504F30" w:rsidP="00504F30">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Parágrafo. Si el cumplimiento de la orden ocurrió luego de </w:t>
      </w:r>
      <w:r w:rsidR="00F37FF8" w:rsidRPr="00FA7E5C">
        <w:rPr>
          <w:rFonts w:ascii="Times New Roman" w:hAnsi="Times New Roman" w:cs="Times New Roman"/>
          <w:sz w:val="24"/>
          <w:szCs w:val="24"/>
        </w:rPr>
        <w:t>comunicada</w:t>
      </w:r>
      <w:r w:rsidRPr="00FA7E5C">
        <w:rPr>
          <w:rFonts w:ascii="Times New Roman" w:hAnsi="Times New Roman" w:cs="Times New Roman"/>
          <w:sz w:val="24"/>
          <w:szCs w:val="24"/>
        </w:rPr>
        <w:t xml:space="preserve">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rsidR="00504F30" w:rsidRPr="00FA7E5C" w:rsidRDefault="00504F30" w:rsidP="00504F30">
      <w:pPr>
        <w:pStyle w:val="Sinespaciado"/>
        <w:jc w:val="both"/>
        <w:rPr>
          <w:rFonts w:ascii="Times New Roman" w:hAnsi="Times New Roman" w:cs="Times New Roman"/>
          <w:b/>
          <w:sz w:val="24"/>
          <w:szCs w:val="24"/>
          <w:u w:val="single"/>
        </w:rPr>
      </w:pPr>
    </w:p>
    <w:p w:rsidR="00504F30" w:rsidRPr="00FA7E5C" w:rsidRDefault="00504F30" w:rsidP="00600D79">
      <w:pPr>
        <w:pStyle w:val="Sinespaciado"/>
        <w:jc w:val="both"/>
        <w:rPr>
          <w:rFonts w:ascii="Times New Roman" w:hAnsi="Times New Roman" w:cs="Times New Roman"/>
          <w:b/>
          <w:sz w:val="24"/>
          <w:szCs w:val="24"/>
        </w:rPr>
      </w:pPr>
    </w:p>
    <w:p w:rsidR="00600D79" w:rsidRPr="00FA7E5C" w:rsidRDefault="00600D79" w:rsidP="00600D79">
      <w:pPr>
        <w:pStyle w:val="Sinespaciado"/>
        <w:jc w:val="both"/>
        <w:rPr>
          <w:rFonts w:ascii="Times New Roman" w:hAnsi="Times New Roman" w:cs="Times New Roman"/>
          <w:sz w:val="24"/>
          <w:szCs w:val="24"/>
          <w:u w:val="single"/>
        </w:rPr>
      </w:pPr>
      <w:r w:rsidRPr="00FA7E5C">
        <w:rPr>
          <w:rFonts w:ascii="Times New Roman" w:hAnsi="Times New Roman" w:cs="Times New Roman"/>
          <w:b/>
          <w:sz w:val="24"/>
          <w:szCs w:val="24"/>
        </w:rPr>
        <w:t xml:space="preserve">ARTÍCULO </w:t>
      </w:r>
      <w:proofErr w:type="gramStart"/>
      <w:r w:rsidR="00F37FF8" w:rsidRPr="00FA7E5C">
        <w:rPr>
          <w:rFonts w:ascii="Times New Roman" w:hAnsi="Times New Roman" w:cs="Times New Roman"/>
          <w:b/>
          <w:sz w:val="24"/>
          <w:szCs w:val="24"/>
        </w:rPr>
        <w:t>106</w:t>
      </w:r>
      <w:r w:rsidR="00504F30" w:rsidRPr="00FA7E5C">
        <w:rPr>
          <w:rFonts w:ascii="Times New Roman" w:hAnsi="Times New Roman" w:cs="Times New Roman"/>
          <w:b/>
          <w:sz w:val="24"/>
          <w:szCs w:val="24"/>
        </w:rPr>
        <w:t xml:space="preserve"> </w:t>
      </w:r>
      <w:r w:rsidRPr="00FA7E5C">
        <w:rPr>
          <w:rFonts w:ascii="Times New Roman" w:hAnsi="Times New Roman" w:cs="Times New Roman"/>
          <w:sz w:val="24"/>
          <w:szCs w:val="24"/>
          <w:u w:val="single"/>
        </w:rPr>
        <w:t>.</w:t>
      </w:r>
      <w:proofErr w:type="gramEnd"/>
      <w:r w:rsidRPr="00FA7E5C">
        <w:rPr>
          <w:rFonts w:ascii="Times New Roman" w:hAnsi="Times New Roman" w:cs="Times New Roman"/>
          <w:sz w:val="24"/>
          <w:szCs w:val="24"/>
          <w:u w:val="single"/>
        </w:rPr>
        <w:t xml:space="preserve"> 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rsidR="00504F30" w:rsidRPr="00FA7E5C" w:rsidRDefault="00504F30" w:rsidP="00600D79">
      <w:pPr>
        <w:rPr>
          <w:rFonts w:ascii="Times New Roman" w:eastAsia="Times New Roman" w:hAnsi="Times New Roman" w:cs="Times New Roman"/>
          <w:sz w:val="24"/>
          <w:szCs w:val="24"/>
          <w:lang w:eastAsia="es-CO"/>
        </w:rPr>
      </w:pPr>
    </w:p>
    <w:p w:rsidR="00311BB7" w:rsidRPr="00FA7E5C" w:rsidRDefault="00311BB7" w:rsidP="00600D79">
      <w:pPr>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Cordialmente, </w:t>
      </w:r>
    </w:p>
    <w:p w:rsidR="00311BB7" w:rsidRPr="00FA7E5C" w:rsidRDefault="00311BB7" w:rsidP="00600D79">
      <w:pPr>
        <w:rPr>
          <w:rFonts w:ascii="Times New Roman" w:eastAsia="Times New Roman" w:hAnsi="Times New Roman" w:cs="Times New Roman"/>
          <w:sz w:val="24"/>
          <w:szCs w:val="24"/>
          <w:lang w:eastAsia="es-CO"/>
        </w:rPr>
      </w:pPr>
    </w:p>
    <w:p w:rsidR="00311BB7" w:rsidRPr="00FA7E5C" w:rsidRDefault="00311BB7" w:rsidP="00600D79">
      <w:pPr>
        <w:rPr>
          <w:rFonts w:ascii="Times New Roman" w:eastAsia="Times New Roman" w:hAnsi="Times New Roman" w:cs="Times New Roman"/>
          <w:sz w:val="24"/>
          <w:szCs w:val="24"/>
          <w:lang w:eastAsia="es-CO"/>
        </w:rPr>
      </w:pPr>
    </w:p>
    <w:p w:rsidR="00311BB7" w:rsidRPr="00FA7E5C" w:rsidRDefault="00311BB7" w:rsidP="00311BB7">
      <w:pPr>
        <w:spacing w:after="0" w:line="240" w:lineRule="auto"/>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 xml:space="preserve">ROY BARRERAS </w:t>
      </w:r>
    </w:p>
    <w:p w:rsidR="00311BB7" w:rsidRPr="00FA7E5C" w:rsidRDefault="00311BB7" w:rsidP="00311BB7">
      <w:pPr>
        <w:spacing w:after="0" w:line="240" w:lineRule="auto"/>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 xml:space="preserve">Senador  </w:t>
      </w:r>
    </w:p>
    <w:p w:rsidR="00C350EC" w:rsidRPr="00FA7E5C" w:rsidRDefault="00C350EC" w:rsidP="00C350EC">
      <w:pPr>
        <w:spacing w:after="0" w:line="240" w:lineRule="auto"/>
        <w:jc w:val="both"/>
        <w:rPr>
          <w:rFonts w:ascii="Times New Roman" w:eastAsia="Times New Roman" w:hAnsi="Times New Roman" w:cs="Times New Roman"/>
          <w:sz w:val="24"/>
          <w:szCs w:val="24"/>
          <w:lang w:eastAsia="es-CO"/>
        </w:rPr>
      </w:pPr>
    </w:p>
    <w:p w:rsidR="00311BB7" w:rsidRPr="00FA7E5C" w:rsidRDefault="00311BB7" w:rsidP="00C350EC">
      <w:pPr>
        <w:spacing w:after="0" w:line="240" w:lineRule="auto"/>
        <w:jc w:val="both"/>
        <w:rPr>
          <w:rFonts w:ascii="Times New Roman" w:eastAsia="Times New Roman" w:hAnsi="Times New Roman" w:cs="Times New Roman"/>
          <w:sz w:val="24"/>
          <w:szCs w:val="24"/>
        </w:rPr>
      </w:pPr>
    </w:p>
    <w:p w:rsidR="00600D79" w:rsidRPr="00FA7E5C" w:rsidRDefault="00600D79" w:rsidP="00600D79">
      <w:pPr>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br w:type="page"/>
      </w:r>
    </w:p>
    <w:p w:rsidR="00B33D63" w:rsidRPr="00FA7E5C" w:rsidRDefault="00F06C5B" w:rsidP="00004289">
      <w:pPr>
        <w:pStyle w:val="Sinespaciado"/>
        <w:jc w:val="center"/>
        <w:rPr>
          <w:rFonts w:ascii="Times New Roman" w:hAnsi="Times New Roman" w:cs="Times New Roman"/>
          <w:b/>
          <w:sz w:val="24"/>
          <w:szCs w:val="24"/>
        </w:rPr>
      </w:pPr>
      <w:r w:rsidRPr="00FA7E5C">
        <w:rPr>
          <w:rFonts w:ascii="Times New Roman" w:hAnsi="Times New Roman" w:cs="Times New Roman"/>
          <w:b/>
          <w:sz w:val="24"/>
          <w:szCs w:val="24"/>
        </w:rPr>
        <w:lastRenderedPageBreak/>
        <w:t>EXPOSICIÓN DE MOTIVOS</w:t>
      </w:r>
    </w:p>
    <w:p w:rsidR="00BC4010" w:rsidRPr="00FA7E5C" w:rsidRDefault="00BC4010" w:rsidP="00004289">
      <w:pPr>
        <w:pStyle w:val="Sinespaciado"/>
        <w:jc w:val="center"/>
        <w:rPr>
          <w:rFonts w:ascii="Times New Roman" w:hAnsi="Times New Roman" w:cs="Times New Roman"/>
          <w:b/>
          <w:sz w:val="24"/>
          <w:szCs w:val="24"/>
        </w:rPr>
      </w:pPr>
    </w:p>
    <w:p w:rsidR="00BC4010" w:rsidRPr="00FA7E5C" w:rsidRDefault="00BC4010" w:rsidP="00CF7242">
      <w:pPr>
        <w:spacing w:after="0" w:line="240" w:lineRule="auto"/>
        <w:jc w:val="center"/>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Proyecto de ley “por medio del cual se reforma el Código de Procedimiento Penal (Ley 906 de 2004) y se dictan otras disposiciones”</w:t>
      </w:r>
    </w:p>
    <w:p w:rsidR="00F06C5B" w:rsidRPr="00FA7E5C" w:rsidRDefault="00F06C5B" w:rsidP="00004289">
      <w:pPr>
        <w:pStyle w:val="Sinespaciado"/>
        <w:rPr>
          <w:rFonts w:ascii="Times New Roman" w:hAnsi="Times New Roman" w:cs="Times New Roman"/>
          <w:b/>
          <w:sz w:val="24"/>
          <w:szCs w:val="24"/>
        </w:rPr>
      </w:pPr>
    </w:p>
    <w:p w:rsidR="00F06C5B" w:rsidRPr="00FA7E5C" w:rsidRDefault="00F06C5B" w:rsidP="00004289">
      <w:pPr>
        <w:pStyle w:val="Sinespaciado"/>
        <w:numPr>
          <w:ilvl w:val="0"/>
          <w:numId w:val="1"/>
        </w:numPr>
        <w:rPr>
          <w:rFonts w:ascii="Times New Roman" w:hAnsi="Times New Roman" w:cs="Times New Roman"/>
          <w:b/>
          <w:sz w:val="24"/>
          <w:szCs w:val="24"/>
        </w:rPr>
      </w:pPr>
      <w:r w:rsidRPr="00FA7E5C">
        <w:rPr>
          <w:rFonts w:ascii="Times New Roman" w:hAnsi="Times New Roman" w:cs="Times New Roman"/>
          <w:b/>
          <w:sz w:val="24"/>
          <w:szCs w:val="24"/>
        </w:rPr>
        <w:t xml:space="preserve">INTRODUCCIÓN </w:t>
      </w:r>
    </w:p>
    <w:p w:rsidR="006D7741" w:rsidRPr="00FA7E5C" w:rsidRDefault="006D7741" w:rsidP="006D7741">
      <w:pPr>
        <w:spacing w:after="0" w:line="240" w:lineRule="auto"/>
        <w:ind w:left="708" w:hanging="708"/>
        <w:jc w:val="both"/>
        <w:rPr>
          <w:rFonts w:ascii="Times New Roman" w:eastAsia="Times New Roman" w:hAnsi="Times New Roman" w:cs="Times New Roman"/>
          <w:sz w:val="24"/>
          <w:szCs w:val="24"/>
          <w:lang w:eastAsia="es-CO"/>
        </w:rPr>
      </w:pPr>
    </w:p>
    <w:p w:rsidR="006D7741" w:rsidRPr="00FA7E5C" w:rsidRDefault="006D7741"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De antemano debe advertirse que este proyecto de ley obedece a la convergencia de posiciones derivadas, concertadas y consensuadas</w:t>
      </w:r>
      <w:r w:rsidR="00334DDB" w:rsidRPr="00FA7E5C">
        <w:rPr>
          <w:rFonts w:ascii="Times New Roman" w:eastAsia="Times New Roman" w:hAnsi="Times New Roman" w:cs="Times New Roman"/>
          <w:sz w:val="24"/>
          <w:szCs w:val="24"/>
          <w:lang w:eastAsia="es-CO"/>
        </w:rPr>
        <w:t xml:space="preserve"> desde la primera</w:t>
      </w:r>
      <w:r w:rsidRPr="00FA7E5C">
        <w:rPr>
          <w:rFonts w:ascii="Times New Roman" w:eastAsia="Times New Roman" w:hAnsi="Times New Roman" w:cs="Times New Roman"/>
          <w:sz w:val="24"/>
          <w:szCs w:val="24"/>
          <w:lang w:eastAsia="es-CO"/>
        </w:rPr>
        <w:t xml:space="preserve"> presentación de</w:t>
      </w:r>
      <w:r w:rsidR="00334DDB" w:rsidRPr="00FA7E5C">
        <w:rPr>
          <w:rFonts w:ascii="Times New Roman" w:eastAsia="Times New Roman" w:hAnsi="Times New Roman" w:cs="Times New Roman"/>
          <w:sz w:val="24"/>
          <w:szCs w:val="24"/>
          <w:lang w:eastAsia="es-CO"/>
        </w:rPr>
        <w:t>l cuerpo normativo</w:t>
      </w:r>
      <w:r w:rsidRPr="00FA7E5C">
        <w:rPr>
          <w:rFonts w:ascii="Times New Roman" w:eastAsia="Times New Roman" w:hAnsi="Times New Roman" w:cs="Times New Roman"/>
          <w:sz w:val="24"/>
          <w:szCs w:val="24"/>
          <w:lang w:eastAsia="es-CO"/>
        </w:rPr>
        <w:t xml:space="preserve"> la cual se realizó en el año 2013</w:t>
      </w:r>
      <w:r w:rsidR="007969EE"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sz w:val="24"/>
          <w:szCs w:val="24"/>
          <w:lang w:eastAsia="es-CO"/>
        </w:rPr>
        <w:t>en cabeza del Honorable Representante</w:t>
      </w:r>
      <w:r w:rsidR="00334DDB" w:rsidRPr="00FA7E5C">
        <w:rPr>
          <w:rFonts w:ascii="Times New Roman" w:eastAsia="Times New Roman" w:hAnsi="Times New Roman" w:cs="Times New Roman"/>
          <w:sz w:val="24"/>
          <w:szCs w:val="24"/>
          <w:lang w:eastAsia="es-CO"/>
        </w:rPr>
        <w:t xml:space="preserve"> a la Cámara Dr. Hernán </w:t>
      </w:r>
      <w:proofErr w:type="spellStart"/>
      <w:r w:rsidR="00334DDB" w:rsidRPr="00FA7E5C">
        <w:rPr>
          <w:rFonts w:ascii="Times New Roman" w:eastAsia="Times New Roman" w:hAnsi="Times New Roman" w:cs="Times New Roman"/>
          <w:sz w:val="24"/>
          <w:szCs w:val="24"/>
          <w:lang w:eastAsia="es-CO"/>
        </w:rPr>
        <w:t>Penagos</w:t>
      </w:r>
      <w:proofErr w:type="spellEnd"/>
      <w:r w:rsidR="001944DD" w:rsidRPr="00FA7E5C">
        <w:rPr>
          <w:rFonts w:ascii="Times New Roman" w:eastAsia="Times New Roman" w:hAnsi="Times New Roman" w:cs="Times New Roman"/>
          <w:sz w:val="24"/>
          <w:szCs w:val="24"/>
          <w:lang w:eastAsia="es-CO"/>
        </w:rPr>
        <w:t xml:space="preserve"> con la asesoría técnica del grupo que lidera el Dr. Mauricio Pava, de la Universidad de Caldas y el Capítulo Caldas del Instituto Colombiano de Derecho Procesal</w:t>
      </w:r>
      <w:r w:rsidR="00334DDB" w:rsidRPr="00FA7E5C">
        <w:rPr>
          <w:rFonts w:ascii="Times New Roman" w:eastAsia="Times New Roman" w:hAnsi="Times New Roman" w:cs="Times New Roman"/>
          <w:sz w:val="24"/>
          <w:szCs w:val="24"/>
          <w:lang w:eastAsia="es-CO"/>
        </w:rPr>
        <w:t xml:space="preserve">. Este documento </w:t>
      </w:r>
      <w:r w:rsidRPr="00FA7E5C">
        <w:rPr>
          <w:rFonts w:ascii="Times New Roman" w:eastAsia="Times New Roman" w:hAnsi="Times New Roman" w:cs="Times New Roman"/>
          <w:sz w:val="24"/>
          <w:szCs w:val="24"/>
          <w:lang w:eastAsia="es-CO"/>
        </w:rPr>
        <w:t>ha sido estudiado y comentado de manera continua</w:t>
      </w:r>
      <w:r w:rsidR="00A20EC0"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sz w:val="24"/>
          <w:szCs w:val="24"/>
          <w:lang w:eastAsia="es-CO"/>
        </w:rPr>
        <w:t>hasta la radicación del Proyecto de ley 197 presentado ante la Cámara de Representantes en la legislatura pasada.  Dentro del proceso de discusión del cual germinó el texto que acá se presenta</w:t>
      </w:r>
      <w:r w:rsidR="00A20EC0" w:rsidRPr="00FA7E5C">
        <w:rPr>
          <w:rFonts w:ascii="Times New Roman" w:eastAsia="Times New Roman" w:hAnsi="Times New Roman" w:cs="Times New Roman"/>
          <w:sz w:val="24"/>
          <w:szCs w:val="24"/>
          <w:lang w:eastAsia="es-CO"/>
        </w:rPr>
        <w:t xml:space="preserve"> se resalta la participación</w:t>
      </w:r>
      <w:r w:rsidRPr="00FA7E5C">
        <w:rPr>
          <w:rFonts w:ascii="Times New Roman" w:eastAsia="Times New Roman" w:hAnsi="Times New Roman" w:cs="Times New Roman"/>
          <w:sz w:val="24"/>
          <w:szCs w:val="24"/>
          <w:lang w:eastAsia="es-CO"/>
        </w:rPr>
        <w:t xml:space="preserve"> de la Fiscalía General de la Nación, quien </w:t>
      </w:r>
      <w:r w:rsidR="001944DD" w:rsidRPr="00FA7E5C">
        <w:rPr>
          <w:rFonts w:ascii="Times New Roman" w:eastAsia="Times New Roman" w:hAnsi="Times New Roman" w:cs="Times New Roman"/>
          <w:sz w:val="24"/>
          <w:szCs w:val="24"/>
          <w:lang w:eastAsia="es-CO"/>
        </w:rPr>
        <w:t>intervino</w:t>
      </w:r>
      <w:r w:rsidRPr="00FA7E5C">
        <w:rPr>
          <w:rFonts w:ascii="Times New Roman" w:eastAsia="Times New Roman" w:hAnsi="Times New Roman" w:cs="Times New Roman"/>
          <w:sz w:val="24"/>
          <w:szCs w:val="24"/>
          <w:lang w:eastAsia="es-CO"/>
        </w:rPr>
        <w:t xml:space="preserve"> de manera activa en</w:t>
      </w:r>
      <w:r w:rsidR="00A20EC0" w:rsidRPr="00FA7E5C">
        <w:rPr>
          <w:rFonts w:ascii="Times New Roman" w:eastAsia="Times New Roman" w:hAnsi="Times New Roman" w:cs="Times New Roman"/>
          <w:sz w:val="24"/>
          <w:szCs w:val="24"/>
          <w:lang w:eastAsia="es-CO"/>
        </w:rPr>
        <w:t xml:space="preserve"> los debates y discusiones en las</w:t>
      </w:r>
      <w:r w:rsidRPr="00FA7E5C">
        <w:rPr>
          <w:rFonts w:ascii="Times New Roman" w:eastAsia="Times New Roman" w:hAnsi="Times New Roman" w:cs="Times New Roman"/>
          <w:sz w:val="24"/>
          <w:szCs w:val="24"/>
          <w:lang w:eastAsia="es-CO"/>
        </w:rPr>
        <w:t xml:space="preserve"> cuales se determinó </w:t>
      </w:r>
      <w:r w:rsidR="00A20EC0" w:rsidRPr="00FA7E5C">
        <w:rPr>
          <w:rFonts w:ascii="Times New Roman" w:eastAsia="Times New Roman" w:hAnsi="Times New Roman" w:cs="Times New Roman"/>
          <w:sz w:val="24"/>
          <w:szCs w:val="24"/>
          <w:lang w:eastAsia="es-CO"/>
        </w:rPr>
        <w:t>el c</w:t>
      </w:r>
      <w:r w:rsidR="00334DDB" w:rsidRPr="00FA7E5C">
        <w:rPr>
          <w:rFonts w:ascii="Times New Roman" w:eastAsia="Times New Roman" w:hAnsi="Times New Roman" w:cs="Times New Roman"/>
          <w:sz w:val="24"/>
          <w:szCs w:val="24"/>
          <w:lang w:eastAsia="es-CO"/>
        </w:rPr>
        <w:t>ontenido del presente proyecto; a</w:t>
      </w:r>
      <w:r w:rsidR="00A20EC0" w:rsidRPr="00FA7E5C">
        <w:rPr>
          <w:rFonts w:ascii="Times New Roman" w:eastAsia="Times New Roman" w:hAnsi="Times New Roman" w:cs="Times New Roman"/>
          <w:sz w:val="24"/>
          <w:szCs w:val="24"/>
          <w:lang w:eastAsia="es-CO"/>
        </w:rPr>
        <w:t xml:space="preserve"> su vez se puso en conocimiento del Consejo Superior de Política Criminal el cual otorgó su concepto favorable</w:t>
      </w:r>
      <w:r w:rsidR="00A20EC0" w:rsidRPr="00FA7E5C">
        <w:rPr>
          <w:rStyle w:val="Refdenotaalpie"/>
          <w:rFonts w:ascii="Times New Roman" w:eastAsia="Times New Roman" w:hAnsi="Times New Roman" w:cs="Times New Roman"/>
          <w:sz w:val="24"/>
          <w:szCs w:val="24"/>
          <w:lang w:eastAsia="es-CO"/>
        </w:rPr>
        <w:footnoteReference w:id="1"/>
      </w:r>
      <w:r w:rsidR="00334DDB" w:rsidRPr="00FA7E5C">
        <w:rPr>
          <w:rFonts w:ascii="Times New Roman" w:eastAsia="Times New Roman" w:hAnsi="Times New Roman" w:cs="Times New Roman"/>
          <w:sz w:val="24"/>
          <w:szCs w:val="24"/>
          <w:lang w:eastAsia="es-CO"/>
        </w:rPr>
        <w:t xml:space="preserve"> para la presente reforma.</w:t>
      </w:r>
      <w:r w:rsidR="00A20EC0" w:rsidRPr="00FA7E5C">
        <w:rPr>
          <w:rFonts w:ascii="Times New Roman" w:eastAsia="Times New Roman" w:hAnsi="Times New Roman" w:cs="Times New Roman"/>
          <w:sz w:val="24"/>
          <w:szCs w:val="24"/>
          <w:lang w:eastAsia="es-CO"/>
        </w:rPr>
        <w:t xml:space="preserve"> </w:t>
      </w:r>
    </w:p>
    <w:p w:rsidR="00B33DA7" w:rsidRPr="00FA7E5C" w:rsidRDefault="007969EE" w:rsidP="007969EE">
      <w:pPr>
        <w:tabs>
          <w:tab w:val="left" w:pos="7170"/>
        </w:tabs>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ab/>
      </w: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Transcurrid</w:t>
      </w:r>
      <w:r w:rsidR="00A83C7B" w:rsidRPr="00FA7E5C">
        <w:rPr>
          <w:rFonts w:ascii="Times New Roman" w:eastAsia="Times New Roman" w:hAnsi="Times New Roman" w:cs="Times New Roman"/>
          <w:sz w:val="24"/>
          <w:szCs w:val="24"/>
          <w:lang w:eastAsia="es-CO"/>
        </w:rPr>
        <w:t xml:space="preserve">os dos lustros de vigencia del sistema penal </w:t>
      </w:r>
      <w:proofErr w:type="gramStart"/>
      <w:r w:rsidR="00A83C7B" w:rsidRPr="00FA7E5C">
        <w:rPr>
          <w:rFonts w:ascii="Times New Roman" w:eastAsia="Times New Roman" w:hAnsi="Times New Roman" w:cs="Times New Roman"/>
          <w:sz w:val="24"/>
          <w:szCs w:val="24"/>
          <w:lang w:eastAsia="es-CO"/>
        </w:rPr>
        <w:t>acusatorio</w:t>
      </w:r>
      <w:proofErr w:type="gramEnd"/>
      <w:r w:rsidRPr="00FA7E5C">
        <w:rPr>
          <w:rFonts w:ascii="Times New Roman" w:eastAsia="Times New Roman" w:hAnsi="Times New Roman" w:cs="Times New Roman"/>
          <w:sz w:val="24"/>
          <w:szCs w:val="24"/>
          <w:lang w:eastAsia="es-CO"/>
        </w:rPr>
        <w:t xml:space="preserve"> y atendidos los reparos que se le formulan a su funcionamiento, </w:t>
      </w:r>
      <w:r w:rsidR="00A83C7B" w:rsidRPr="00FA7E5C">
        <w:rPr>
          <w:rFonts w:ascii="Times New Roman" w:eastAsia="Times New Roman" w:hAnsi="Times New Roman" w:cs="Times New Roman"/>
          <w:sz w:val="24"/>
          <w:szCs w:val="24"/>
          <w:lang w:eastAsia="es-CO"/>
        </w:rPr>
        <w:t xml:space="preserve">Se </w:t>
      </w:r>
      <w:r w:rsidRPr="00FA7E5C">
        <w:rPr>
          <w:rFonts w:ascii="Times New Roman" w:eastAsia="Times New Roman" w:hAnsi="Times New Roman" w:cs="Times New Roman"/>
          <w:sz w:val="24"/>
          <w:szCs w:val="24"/>
          <w:lang w:eastAsia="es-CO"/>
        </w:rPr>
        <w:t xml:space="preserve">considera que ha llegado el momento de abordar algunas reformas en el campo normativo con el fin de optimizar su desarrollo. Para sacar avante ese propósito, se </w:t>
      </w:r>
      <w:r w:rsidR="00AA025A" w:rsidRPr="00FA7E5C">
        <w:rPr>
          <w:rFonts w:ascii="Times New Roman" w:eastAsia="Times New Roman" w:hAnsi="Times New Roman" w:cs="Times New Roman"/>
          <w:sz w:val="24"/>
          <w:szCs w:val="24"/>
          <w:lang w:eastAsia="es-CO"/>
        </w:rPr>
        <w:t xml:space="preserve">propone poner a consideración del Congreso de la República el proyecto </w:t>
      </w:r>
      <w:r w:rsidRPr="00FA7E5C">
        <w:rPr>
          <w:rFonts w:ascii="Times New Roman" w:eastAsia="Times New Roman" w:hAnsi="Times New Roman" w:cs="Times New Roman"/>
          <w:sz w:val="24"/>
          <w:szCs w:val="24"/>
          <w:lang w:eastAsia="es-CO"/>
        </w:rPr>
        <w:t>de ley “por medio del cual se reforma el Código de Procedimiento Penal Ley 906 de 2004 y se dictan otras disposiciones”.</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El proyecto tiene como finalidad modificar figuras de relevancia que no han funcionado adecuadamente, con miras a recuperar la eficiencia del proceso. Entre las principales modificaciones, se destacan: la supresió</w:t>
      </w:r>
      <w:r w:rsidR="00AA025A" w:rsidRPr="00FA7E5C">
        <w:rPr>
          <w:rFonts w:ascii="Times New Roman" w:eastAsia="Times New Roman" w:hAnsi="Times New Roman" w:cs="Times New Roman"/>
          <w:sz w:val="24"/>
          <w:szCs w:val="24"/>
          <w:lang w:eastAsia="es-CO"/>
        </w:rPr>
        <w:t>n de las audiencias de imputación y de lectura de fallos o autos,</w:t>
      </w:r>
      <w:r w:rsidRPr="00FA7E5C">
        <w:rPr>
          <w:rFonts w:ascii="Times New Roman" w:eastAsia="Times New Roman" w:hAnsi="Times New Roman" w:cs="Times New Roman"/>
          <w:sz w:val="24"/>
          <w:szCs w:val="24"/>
          <w:lang w:eastAsia="es-CO"/>
        </w:rPr>
        <w:t xml:space="preserve"> la eliminación del incidente </w:t>
      </w:r>
      <w:r w:rsidR="00AA025A" w:rsidRPr="00FA7E5C">
        <w:rPr>
          <w:rFonts w:ascii="Times New Roman" w:eastAsia="Times New Roman" w:hAnsi="Times New Roman" w:cs="Times New Roman"/>
          <w:sz w:val="24"/>
          <w:szCs w:val="24"/>
          <w:lang w:eastAsia="es-CO"/>
        </w:rPr>
        <w:t>de reparación integral</w:t>
      </w:r>
      <w:r w:rsidR="00915097" w:rsidRPr="00FA7E5C">
        <w:rPr>
          <w:rFonts w:ascii="Times New Roman" w:eastAsia="Times New Roman" w:hAnsi="Times New Roman" w:cs="Times New Roman"/>
          <w:sz w:val="24"/>
          <w:szCs w:val="24"/>
          <w:lang w:eastAsia="es-CO"/>
        </w:rPr>
        <w:t xml:space="preserve">, la modificación en materia de términos de las medidas de aseguramiento, la mejora a algunas de las instituciones que permiten llevar investigaciones en debida forma </w:t>
      </w:r>
      <w:r w:rsidR="00AA025A" w:rsidRPr="00FA7E5C">
        <w:rPr>
          <w:rFonts w:ascii="Times New Roman" w:eastAsia="Times New Roman" w:hAnsi="Times New Roman" w:cs="Times New Roman"/>
          <w:sz w:val="24"/>
          <w:szCs w:val="24"/>
          <w:lang w:eastAsia="es-CO"/>
        </w:rPr>
        <w:t xml:space="preserve"> y</w:t>
      </w:r>
      <w:r w:rsidRPr="00FA7E5C">
        <w:rPr>
          <w:rFonts w:ascii="Times New Roman" w:eastAsia="Times New Roman" w:hAnsi="Times New Roman" w:cs="Times New Roman"/>
          <w:sz w:val="24"/>
          <w:szCs w:val="24"/>
          <w:lang w:eastAsia="es-CO"/>
        </w:rPr>
        <w:t xml:space="preserve"> </w:t>
      </w:r>
      <w:r w:rsidR="00915097" w:rsidRPr="00FA7E5C">
        <w:rPr>
          <w:rFonts w:ascii="Times New Roman" w:eastAsia="Times New Roman" w:hAnsi="Times New Roman" w:cs="Times New Roman"/>
          <w:sz w:val="24"/>
          <w:szCs w:val="24"/>
          <w:lang w:eastAsia="es-CO"/>
        </w:rPr>
        <w:t xml:space="preserve"> algunos </w:t>
      </w:r>
      <w:r w:rsidRPr="00FA7E5C">
        <w:rPr>
          <w:rFonts w:ascii="Times New Roman" w:eastAsia="Times New Roman" w:hAnsi="Times New Roman" w:cs="Times New Roman"/>
          <w:sz w:val="24"/>
          <w:szCs w:val="24"/>
          <w:lang w:eastAsia="es-CO"/>
        </w:rPr>
        <w:t>cambios normativos tendientes a elevar la eficiencia de las actuaciones procesales</w:t>
      </w:r>
      <w:r w:rsidR="00915097"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sz w:val="24"/>
          <w:szCs w:val="24"/>
          <w:lang w:eastAsia="es-CO"/>
        </w:rPr>
        <w:t xml:space="preserve">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Se procuró adicionalmente,  recuperar institutos de otros sistemas procesales que pueden operar en perfecta armonía con el modelo acusatorio nuestro. Así las cosas, se reintrodujo  las figura de la indemnización integral de perjuicios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Finalmente, se hizo un esfuerzo enorme por adecuar y mejorar varias instituciones del proceso penal para hacerlas más eficientes y funcionales. Además de ello, se logró la positivización de la jurisprudencia de la Corte Constitucional en el texto normativo en distintos temas procesales.</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Con la reforma que aquí se presenta, se espera poder entregar al país un modelo procesal que eleve la capacidad de respuesta de la administración de justicia, que pueda dar mejores respuestas al ciudadano de a pie, que cuente con mayores y mejores herramientas de investigación, y que fortalezca la utilización de mecanismos de justicia restaurativa.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Con todo, debemos ser conscientes de que un sistema procesal está compuesto por las normas que lo rigen, pero también por los operadores judiciales que lo utilizan día tras día. Es por ello que el proyecto de reforma al Código de Procedimiento Penal que aquí se presenta no tiene un objetivo distinto que mejorar las herramientas jurídicas que tienen los funcionarios y usuarios de nuestro país para adelantar los procesos de naturaleza penal. Sin embargo, el secreto de una justicia moderna y a la vanguardia de las exigencias sociales requiere del aporte de todos para que estas iniciativas reporten verdaderos avances en nuestra administración de justicia.</w:t>
      </w:r>
    </w:p>
    <w:p w:rsidR="00BC4010" w:rsidRPr="00FA7E5C" w:rsidRDefault="00BC4010" w:rsidP="00BC4010">
      <w:pPr>
        <w:pStyle w:val="Sinespaciado"/>
        <w:rPr>
          <w:rFonts w:ascii="Times New Roman" w:hAnsi="Times New Roman" w:cs="Times New Roman"/>
          <w:b/>
          <w:sz w:val="24"/>
          <w:szCs w:val="24"/>
        </w:rPr>
      </w:pPr>
    </w:p>
    <w:p w:rsidR="00872E33" w:rsidRPr="00FA7E5C" w:rsidRDefault="00872E33" w:rsidP="00004289">
      <w:pPr>
        <w:pStyle w:val="Sinespaciado"/>
        <w:numPr>
          <w:ilvl w:val="0"/>
          <w:numId w:val="1"/>
        </w:numPr>
        <w:rPr>
          <w:rFonts w:ascii="Times New Roman" w:hAnsi="Times New Roman" w:cs="Times New Roman"/>
          <w:b/>
          <w:sz w:val="24"/>
          <w:szCs w:val="24"/>
        </w:rPr>
      </w:pPr>
      <w:r w:rsidRPr="00FA7E5C">
        <w:rPr>
          <w:rFonts w:ascii="Times New Roman" w:hAnsi="Times New Roman" w:cs="Times New Roman"/>
          <w:b/>
          <w:sz w:val="24"/>
          <w:szCs w:val="24"/>
        </w:rPr>
        <w:t xml:space="preserve">LA REFORMA MAXIMIZA EL DERECHO FUNDAMENTAL DE ACCEDER A UNA JUSTICIA PRONTA Y EFICAZ </w:t>
      </w:r>
    </w:p>
    <w:p w:rsidR="00AA025A" w:rsidRPr="00FA7E5C" w:rsidRDefault="00AA025A" w:rsidP="00AA025A">
      <w:pPr>
        <w:pStyle w:val="Sinespaciado"/>
        <w:rPr>
          <w:rFonts w:ascii="Times New Roman" w:hAnsi="Times New Roman" w:cs="Times New Roman"/>
          <w:sz w:val="24"/>
          <w:szCs w:val="24"/>
        </w:rPr>
      </w:pPr>
    </w:p>
    <w:p w:rsidR="006B194D" w:rsidRPr="00FA7E5C" w:rsidRDefault="00570ECA" w:rsidP="0026771D">
      <w:pPr>
        <w:pStyle w:val="Sinespaciado"/>
        <w:jc w:val="both"/>
        <w:rPr>
          <w:rFonts w:ascii="Times New Roman" w:hAnsi="Times New Roman" w:cs="Times New Roman"/>
          <w:sz w:val="24"/>
          <w:szCs w:val="24"/>
          <w:shd w:val="clear" w:color="auto" w:fill="FFFFFF"/>
        </w:rPr>
      </w:pPr>
      <w:r w:rsidRPr="00FA7E5C">
        <w:rPr>
          <w:rFonts w:ascii="Times New Roman" w:hAnsi="Times New Roman" w:cs="Times New Roman"/>
          <w:sz w:val="24"/>
          <w:szCs w:val="24"/>
        </w:rPr>
        <w:t xml:space="preserve">El acceso a la justicia es considerando en Colombia como un derecho fundamental. </w:t>
      </w:r>
      <w:r w:rsidR="006B194D" w:rsidRPr="00FA7E5C">
        <w:rPr>
          <w:rFonts w:ascii="Times New Roman" w:hAnsi="Times New Roman" w:cs="Times New Roman"/>
          <w:sz w:val="24"/>
          <w:szCs w:val="24"/>
        </w:rPr>
        <w:t>De acuerdo con el artículo 229</w:t>
      </w:r>
      <w:r w:rsidRPr="00FA7E5C">
        <w:rPr>
          <w:rFonts w:ascii="Times New Roman" w:hAnsi="Times New Roman" w:cs="Times New Roman"/>
          <w:sz w:val="24"/>
          <w:szCs w:val="24"/>
        </w:rPr>
        <w:t xml:space="preserve"> de la Constitución Política, es obligación del Estado garantizar “</w:t>
      </w:r>
      <w:r w:rsidR="006B194D" w:rsidRPr="00FA7E5C">
        <w:rPr>
          <w:rFonts w:ascii="Times New Roman" w:hAnsi="Times New Roman" w:cs="Times New Roman"/>
          <w:sz w:val="24"/>
          <w:szCs w:val="24"/>
        </w:rPr>
        <w:t>el derecho de toda persona para acceder a</w:t>
      </w:r>
      <w:r w:rsidRPr="00FA7E5C">
        <w:rPr>
          <w:rFonts w:ascii="Times New Roman" w:hAnsi="Times New Roman" w:cs="Times New Roman"/>
          <w:sz w:val="24"/>
          <w:szCs w:val="24"/>
        </w:rPr>
        <w:t xml:space="preserve"> la administración de justicia”.  En igual sentido, el artículo 2 de la Ley 270 de 1996 (ley estatutaria de administración de justicia), consagra que “</w:t>
      </w:r>
      <w:r w:rsidRPr="00FA7E5C">
        <w:rPr>
          <w:rFonts w:ascii="Times New Roman" w:hAnsi="Times New Roman" w:cs="Times New Roman"/>
          <w:sz w:val="24"/>
          <w:szCs w:val="24"/>
          <w:shd w:val="clear" w:color="auto" w:fill="FFFFFF"/>
        </w:rPr>
        <w:t>El Estado garantiza el acceso de todos los asociados a la administración de justicia”.</w:t>
      </w:r>
    </w:p>
    <w:p w:rsidR="00570ECA" w:rsidRPr="00FA7E5C" w:rsidRDefault="00570ECA" w:rsidP="0026771D">
      <w:pPr>
        <w:pStyle w:val="Sinespaciado"/>
        <w:jc w:val="both"/>
        <w:rPr>
          <w:rFonts w:ascii="Times New Roman" w:hAnsi="Times New Roman" w:cs="Times New Roman"/>
          <w:sz w:val="24"/>
          <w:szCs w:val="24"/>
          <w:shd w:val="clear" w:color="auto" w:fill="FFFFFF"/>
        </w:rPr>
      </w:pPr>
    </w:p>
    <w:p w:rsidR="00570ECA" w:rsidRPr="00FA7E5C" w:rsidRDefault="00570ECA" w:rsidP="0026771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De acuerdo con la jurisprudencia constituciona</w:t>
      </w:r>
      <w:r w:rsidR="008C2728" w:rsidRPr="00FA7E5C">
        <w:rPr>
          <w:rFonts w:ascii="Times New Roman" w:hAnsi="Times New Roman" w:cs="Times New Roman"/>
          <w:sz w:val="24"/>
          <w:szCs w:val="24"/>
        </w:rPr>
        <w:t>l,</w:t>
      </w:r>
      <w:r w:rsidR="00915097" w:rsidRPr="00FA7E5C">
        <w:rPr>
          <w:rFonts w:ascii="Times New Roman" w:hAnsi="Times New Roman" w:cs="Times New Roman"/>
          <w:sz w:val="24"/>
          <w:szCs w:val="24"/>
        </w:rPr>
        <w:t xml:space="preserve"> el</w:t>
      </w:r>
      <w:r w:rsidR="008C2728" w:rsidRPr="00FA7E5C">
        <w:rPr>
          <w:rFonts w:ascii="Times New Roman" w:hAnsi="Times New Roman" w:cs="Times New Roman"/>
          <w:sz w:val="24"/>
          <w:szCs w:val="24"/>
        </w:rPr>
        <w:t xml:space="preserve"> derecho de acceso a la administración de  justicia “ </w:t>
      </w:r>
      <w:r w:rsidRPr="00FA7E5C">
        <w:rPr>
          <w:rFonts w:ascii="Times New Roman" w:hAnsi="Times New Roman" w:cs="Times New Roman"/>
          <w:sz w:val="24"/>
          <w:szCs w:val="24"/>
          <w:shd w:val="clear" w:color="auto" w:fill="FFFFFF"/>
        </w:rPr>
        <w:t>conlleva la realización material de los fines del Estado Social de Derecho, pues a través de esta función pública, entre otras, el Estado garantiza un orden político, económico y social justo, promueve la convivencia pacífica, vela por el respeto a la legalidad y la dignidad humana, y asegura la protección de los asociados en su vida, honra, bienes, creencias y demás derechos y libertades públicas</w:t>
      </w:r>
      <w:r w:rsidR="008C2728" w:rsidRPr="00FA7E5C">
        <w:rPr>
          <w:rFonts w:ascii="Times New Roman" w:hAnsi="Times New Roman" w:cs="Times New Roman"/>
          <w:sz w:val="24"/>
          <w:szCs w:val="24"/>
          <w:shd w:val="clear" w:color="auto" w:fill="FFFFFF"/>
        </w:rPr>
        <w:t xml:space="preserve">”. </w:t>
      </w:r>
      <w:r w:rsidR="008C2728" w:rsidRPr="00FA7E5C">
        <w:rPr>
          <w:rStyle w:val="Refdenotaalpie"/>
          <w:rFonts w:ascii="Times New Roman" w:hAnsi="Times New Roman" w:cs="Times New Roman"/>
          <w:sz w:val="24"/>
          <w:szCs w:val="24"/>
          <w:shd w:val="clear" w:color="auto" w:fill="FFFFFF"/>
        </w:rPr>
        <w:footnoteReference w:id="2"/>
      </w:r>
    </w:p>
    <w:p w:rsidR="00570ECA" w:rsidRPr="00FA7E5C" w:rsidRDefault="00570ECA" w:rsidP="0026771D">
      <w:pPr>
        <w:pStyle w:val="Sinespaciado"/>
        <w:jc w:val="both"/>
        <w:rPr>
          <w:rFonts w:ascii="Times New Roman" w:hAnsi="Times New Roman" w:cs="Times New Roman"/>
          <w:sz w:val="24"/>
          <w:szCs w:val="24"/>
        </w:rPr>
      </w:pPr>
    </w:p>
    <w:p w:rsidR="00570ECA" w:rsidRPr="00FA7E5C" w:rsidRDefault="008C2728" w:rsidP="0026771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Además de las nociones antes esbozadas, el ordenamiento jurídico consagra algunos principios rectores para garantizar el acceso a la justicia. Dispone</w:t>
      </w:r>
      <w:r w:rsidR="00915097" w:rsidRPr="00FA7E5C">
        <w:rPr>
          <w:rFonts w:ascii="Times New Roman" w:hAnsi="Times New Roman" w:cs="Times New Roman"/>
          <w:sz w:val="24"/>
          <w:szCs w:val="24"/>
        </w:rPr>
        <w:t>n los artículos 4 y 9 de</w:t>
      </w:r>
      <w:r w:rsidRPr="00FA7E5C">
        <w:rPr>
          <w:rFonts w:ascii="Times New Roman" w:hAnsi="Times New Roman" w:cs="Times New Roman"/>
          <w:sz w:val="24"/>
          <w:szCs w:val="24"/>
        </w:rPr>
        <w:t xml:space="preserve"> la ley 270 de 1996 </w:t>
      </w:r>
      <w:r w:rsidR="00DC1CE9" w:rsidRPr="00FA7E5C">
        <w:rPr>
          <w:rFonts w:ascii="Times New Roman" w:hAnsi="Times New Roman" w:cs="Times New Roman"/>
          <w:sz w:val="24"/>
          <w:szCs w:val="24"/>
        </w:rPr>
        <w:t>que la administración de justicia debe responder a criterios de celeridad</w:t>
      </w:r>
      <w:r w:rsidR="00915097" w:rsidRPr="00FA7E5C">
        <w:rPr>
          <w:rFonts w:ascii="Times New Roman" w:hAnsi="Times New Roman" w:cs="Times New Roman"/>
          <w:sz w:val="24"/>
          <w:szCs w:val="24"/>
        </w:rPr>
        <w:t xml:space="preserve"> y eficiencia y los consagra </w:t>
      </w:r>
      <w:r w:rsidR="00DC1CE9" w:rsidRPr="00FA7E5C">
        <w:rPr>
          <w:rFonts w:ascii="Times New Roman" w:hAnsi="Times New Roman" w:cs="Times New Roman"/>
          <w:sz w:val="24"/>
          <w:szCs w:val="24"/>
        </w:rPr>
        <w:t xml:space="preserve"> como criterios orientadores para ga</w:t>
      </w:r>
      <w:r w:rsidR="00915097" w:rsidRPr="00FA7E5C">
        <w:rPr>
          <w:rFonts w:ascii="Times New Roman" w:hAnsi="Times New Roman" w:cs="Times New Roman"/>
          <w:sz w:val="24"/>
          <w:szCs w:val="24"/>
        </w:rPr>
        <w:t>rantizar el acceso a la justicia</w:t>
      </w:r>
      <w:r w:rsidR="00DC1CE9" w:rsidRPr="00FA7E5C">
        <w:rPr>
          <w:rFonts w:ascii="Times New Roman" w:hAnsi="Times New Roman" w:cs="Times New Roman"/>
          <w:sz w:val="24"/>
          <w:szCs w:val="24"/>
        </w:rPr>
        <w:t xml:space="preserve">. </w:t>
      </w:r>
    </w:p>
    <w:p w:rsidR="006B194D" w:rsidRPr="00FA7E5C" w:rsidRDefault="006B194D" w:rsidP="0026771D">
      <w:pPr>
        <w:pStyle w:val="Sinespaciado"/>
        <w:jc w:val="both"/>
        <w:rPr>
          <w:rFonts w:ascii="Times New Roman" w:hAnsi="Times New Roman" w:cs="Times New Roman"/>
          <w:sz w:val="24"/>
          <w:szCs w:val="24"/>
        </w:rPr>
      </w:pPr>
    </w:p>
    <w:p w:rsidR="008C2728" w:rsidRPr="00FA7E5C" w:rsidRDefault="00DC1CE9" w:rsidP="0026771D">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FA7E5C">
        <w:rPr>
          <w:rFonts w:ascii="Times New Roman" w:hAnsi="Times New Roman" w:cs="Times New Roman"/>
          <w:sz w:val="24"/>
          <w:szCs w:val="24"/>
        </w:rPr>
        <w:t>De igual manera, manifiesta la jurisprudencia de la Corte Constitucional</w:t>
      </w:r>
      <w:r w:rsidR="008C2728" w:rsidRPr="00FA7E5C">
        <w:rPr>
          <w:rFonts w:ascii="Times New Roman" w:eastAsia="Times New Roman" w:hAnsi="Times New Roman" w:cs="Times New Roman"/>
          <w:sz w:val="24"/>
          <w:szCs w:val="24"/>
          <w:bdr w:val="none" w:sz="0" w:space="0" w:color="auto" w:frame="1"/>
          <w:lang w:eastAsia="es-CO"/>
        </w:rPr>
        <w:t> </w:t>
      </w:r>
      <w:r w:rsidRPr="00FA7E5C">
        <w:rPr>
          <w:rFonts w:ascii="Times New Roman" w:eastAsia="Times New Roman" w:hAnsi="Times New Roman" w:cs="Times New Roman"/>
          <w:sz w:val="24"/>
          <w:szCs w:val="24"/>
          <w:bdr w:val="none" w:sz="0" w:space="0" w:color="auto" w:frame="1"/>
          <w:lang w:eastAsia="es-CO"/>
        </w:rPr>
        <w:t>que para garantizar el derecho a la administración de justicia, se requiere de: “</w:t>
      </w:r>
      <w:r w:rsidR="008C2728" w:rsidRPr="00FA7E5C">
        <w:rPr>
          <w:rFonts w:ascii="Times New Roman" w:eastAsia="Times New Roman" w:hAnsi="Times New Roman" w:cs="Times New Roman"/>
          <w:sz w:val="24"/>
          <w:szCs w:val="24"/>
          <w:bdr w:val="none" w:sz="0" w:space="0" w:color="auto" w:frame="1"/>
          <w:lang w:eastAsia="es-CO"/>
        </w:rPr>
        <w:t xml:space="preserve"> (i) la existencia de procedimientos adecuados, idóneos y efectivos para la definición de las pretensiones y excepciones debatidas; (</w:t>
      </w:r>
      <w:proofErr w:type="spellStart"/>
      <w:r w:rsidR="008C2728" w:rsidRPr="00FA7E5C">
        <w:rPr>
          <w:rFonts w:ascii="Times New Roman" w:eastAsia="Times New Roman" w:hAnsi="Times New Roman" w:cs="Times New Roman"/>
          <w:sz w:val="24"/>
          <w:szCs w:val="24"/>
          <w:bdr w:val="none" w:sz="0" w:space="0" w:color="auto" w:frame="1"/>
          <w:lang w:eastAsia="es-CO"/>
        </w:rPr>
        <w:t>ii</w:t>
      </w:r>
      <w:proofErr w:type="spellEnd"/>
      <w:r w:rsidR="008C2728" w:rsidRPr="00FA7E5C">
        <w:rPr>
          <w:rFonts w:ascii="Times New Roman" w:eastAsia="Times New Roman" w:hAnsi="Times New Roman" w:cs="Times New Roman"/>
          <w:sz w:val="24"/>
          <w:szCs w:val="24"/>
          <w:bdr w:val="none" w:sz="0" w:space="0" w:color="auto" w:frame="1"/>
          <w:lang w:eastAsia="es-CO"/>
        </w:rPr>
        <w:t>) que los procesos se desarrollen en un término razonable, sin dilaciones injustificadas y con observancia de las garantías propias del debido proceso; y (</w:t>
      </w:r>
      <w:proofErr w:type="spellStart"/>
      <w:r w:rsidR="008C2728" w:rsidRPr="00FA7E5C">
        <w:rPr>
          <w:rFonts w:ascii="Times New Roman" w:eastAsia="Times New Roman" w:hAnsi="Times New Roman" w:cs="Times New Roman"/>
          <w:sz w:val="24"/>
          <w:szCs w:val="24"/>
          <w:bdr w:val="none" w:sz="0" w:space="0" w:color="auto" w:frame="1"/>
          <w:lang w:eastAsia="es-CO"/>
        </w:rPr>
        <w:t>iii</w:t>
      </w:r>
      <w:proofErr w:type="spellEnd"/>
      <w:r w:rsidR="008C2728" w:rsidRPr="00FA7E5C">
        <w:rPr>
          <w:rFonts w:ascii="Times New Roman" w:eastAsia="Times New Roman" w:hAnsi="Times New Roman" w:cs="Times New Roman"/>
          <w:sz w:val="24"/>
          <w:szCs w:val="24"/>
          <w:bdr w:val="none" w:sz="0" w:space="0" w:color="auto" w:frame="1"/>
          <w:lang w:eastAsia="es-CO"/>
        </w:rPr>
        <w:t>) que las decisiones que se adopten protejan los derechos conforme a la Constitución y demás normativa vigente.</w:t>
      </w:r>
      <w:r w:rsidRPr="00FA7E5C">
        <w:rPr>
          <w:rFonts w:ascii="Times New Roman" w:eastAsia="Times New Roman" w:hAnsi="Times New Roman" w:cs="Times New Roman"/>
          <w:sz w:val="24"/>
          <w:szCs w:val="24"/>
          <w:bdr w:val="none" w:sz="0" w:space="0" w:color="auto" w:frame="1"/>
          <w:lang w:eastAsia="es-CO"/>
        </w:rPr>
        <w:t>”</w:t>
      </w:r>
      <w:r w:rsidRPr="00FA7E5C">
        <w:rPr>
          <w:rStyle w:val="Refdenotaalpie"/>
          <w:rFonts w:ascii="Times New Roman" w:hAnsi="Times New Roman" w:cs="Times New Roman"/>
          <w:sz w:val="24"/>
          <w:szCs w:val="24"/>
        </w:rPr>
        <w:t xml:space="preserve"> </w:t>
      </w:r>
      <w:r w:rsidRPr="00FA7E5C">
        <w:rPr>
          <w:rStyle w:val="Refdenotaalpie"/>
          <w:rFonts w:ascii="Times New Roman" w:hAnsi="Times New Roman" w:cs="Times New Roman"/>
          <w:sz w:val="24"/>
          <w:szCs w:val="24"/>
        </w:rPr>
        <w:footnoteReference w:id="3"/>
      </w:r>
    </w:p>
    <w:p w:rsidR="008C2728" w:rsidRPr="00FA7E5C" w:rsidRDefault="008C2728" w:rsidP="0026771D">
      <w:pPr>
        <w:pStyle w:val="Sinespaciado"/>
        <w:jc w:val="both"/>
        <w:rPr>
          <w:rFonts w:ascii="Times New Roman" w:hAnsi="Times New Roman" w:cs="Times New Roman"/>
          <w:sz w:val="24"/>
          <w:szCs w:val="24"/>
        </w:rPr>
      </w:pPr>
    </w:p>
    <w:p w:rsidR="00915097" w:rsidRPr="00FA7E5C" w:rsidRDefault="00DC1CE9" w:rsidP="0026771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Teniendo en cuenta las anteriores consideraciones, y habiendo hecho un estudio minucioso de algunas figuras del procedimiento penal</w:t>
      </w:r>
      <w:r w:rsidR="00915097" w:rsidRPr="00FA7E5C">
        <w:rPr>
          <w:rFonts w:ascii="Times New Roman" w:hAnsi="Times New Roman" w:cs="Times New Roman"/>
          <w:sz w:val="24"/>
          <w:szCs w:val="24"/>
        </w:rPr>
        <w:t xml:space="preserve">, se ha evidenciado que en la práctica, el desarrollo de algunas de ellas genera la obstaculización del derecho al acceso a la justicia repercutiendo negativamente en la ciudadanía. Es por eso, que a través del presente proyecto se plantea la modificación de dos figuras procesales: la formulación de la imputación y la lectura de las providencias. </w:t>
      </w:r>
    </w:p>
    <w:p w:rsidR="00DC1CE9" w:rsidRPr="00FA7E5C" w:rsidRDefault="00DC1CE9" w:rsidP="0026771D">
      <w:pPr>
        <w:pStyle w:val="Sinespaciado"/>
        <w:jc w:val="both"/>
        <w:rPr>
          <w:rFonts w:ascii="Times New Roman" w:hAnsi="Times New Roman" w:cs="Times New Roman"/>
          <w:sz w:val="24"/>
          <w:szCs w:val="24"/>
        </w:rPr>
      </w:pPr>
    </w:p>
    <w:p w:rsidR="00DC1CE9" w:rsidRPr="00FA7E5C" w:rsidRDefault="00DC1CE9" w:rsidP="0026771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Así, la propuesta consagra un paso de una diligencia de imputación verbal y frente a un juez, hacia una diligencia escrita hecha entre las partes. De igual manera, </w:t>
      </w:r>
      <w:r w:rsidR="00915097" w:rsidRPr="00FA7E5C">
        <w:rPr>
          <w:rFonts w:ascii="Times New Roman" w:hAnsi="Times New Roman" w:cs="Times New Roman"/>
          <w:sz w:val="24"/>
          <w:szCs w:val="24"/>
        </w:rPr>
        <w:t xml:space="preserve">plenaria </w:t>
      </w:r>
      <w:r w:rsidRPr="00FA7E5C">
        <w:rPr>
          <w:rFonts w:ascii="Times New Roman" w:hAnsi="Times New Roman" w:cs="Times New Roman"/>
          <w:sz w:val="24"/>
          <w:szCs w:val="24"/>
        </w:rPr>
        <w:t>la evolución de la denominada audiencia de lectura de f</w:t>
      </w:r>
      <w:r w:rsidR="00915097" w:rsidRPr="00FA7E5C">
        <w:rPr>
          <w:rFonts w:ascii="Times New Roman" w:hAnsi="Times New Roman" w:cs="Times New Roman"/>
          <w:sz w:val="24"/>
          <w:szCs w:val="24"/>
        </w:rPr>
        <w:t>allo o auto por una comunicación escrita</w:t>
      </w:r>
      <w:r w:rsidRPr="00FA7E5C">
        <w:rPr>
          <w:rFonts w:ascii="Times New Roman" w:hAnsi="Times New Roman" w:cs="Times New Roman"/>
          <w:sz w:val="24"/>
          <w:szCs w:val="24"/>
        </w:rPr>
        <w:t xml:space="preserve"> de este tipo de providencias. </w:t>
      </w:r>
    </w:p>
    <w:p w:rsidR="00DC1CE9" w:rsidRPr="00FA7E5C" w:rsidRDefault="00DC1CE9" w:rsidP="0026771D">
      <w:pPr>
        <w:pStyle w:val="Sinespaciado"/>
        <w:jc w:val="both"/>
        <w:rPr>
          <w:rFonts w:ascii="Times New Roman" w:hAnsi="Times New Roman" w:cs="Times New Roman"/>
          <w:sz w:val="24"/>
          <w:szCs w:val="24"/>
        </w:rPr>
      </w:pPr>
    </w:p>
    <w:p w:rsidR="00AA025A" w:rsidRPr="00FA7E5C" w:rsidRDefault="00DC1CE9" w:rsidP="0026771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Estas dos modificaciones, explicadas extensamente a continuación, permiten reconocer lo indispensables que son la </w:t>
      </w:r>
      <w:r w:rsidR="00915097" w:rsidRPr="00FA7E5C">
        <w:rPr>
          <w:rFonts w:ascii="Times New Roman" w:hAnsi="Times New Roman" w:cs="Times New Roman"/>
          <w:sz w:val="24"/>
          <w:szCs w:val="24"/>
        </w:rPr>
        <w:t>imputación</w:t>
      </w:r>
      <w:r w:rsidRPr="00FA7E5C">
        <w:rPr>
          <w:rFonts w:ascii="Times New Roman" w:hAnsi="Times New Roman" w:cs="Times New Roman"/>
          <w:sz w:val="24"/>
          <w:szCs w:val="24"/>
        </w:rPr>
        <w:t xml:space="preserve"> y la entrega de la providencia, pero buscan cambiar la forma en que estas se realizan en virtud de los principios de eficacia </w:t>
      </w:r>
      <w:r w:rsidR="00915097" w:rsidRPr="00FA7E5C">
        <w:rPr>
          <w:rFonts w:ascii="Times New Roman" w:hAnsi="Times New Roman" w:cs="Times New Roman"/>
          <w:sz w:val="24"/>
          <w:szCs w:val="24"/>
        </w:rPr>
        <w:t xml:space="preserve">y celeridad. Por lo tanto,  es importante tener en cuenta que en ningún momento se están eliminando las figuras, por el contrario, lo que hay es una evolución de las mismas para que se practiquen de la manera más adecuada. </w:t>
      </w:r>
    </w:p>
    <w:p w:rsidR="00AA025A" w:rsidRPr="00FA7E5C" w:rsidRDefault="00AA025A" w:rsidP="00AA025A">
      <w:pPr>
        <w:pStyle w:val="Sinespaciado"/>
        <w:rPr>
          <w:rFonts w:ascii="Times New Roman" w:hAnsi="Times New Roman" w:cs="Times New Roman"/>
          <w:b/>
          <w:sz w:val="24"/>
          <w:szCs w:val="24"/>
        </w:rPr>
      </w:pPr>
    </w:p>
    <w:p w:rsidR="00872E33" w:rsidRPr="00FA7E5C" w:rsidRDefault="00872E33" w:rsidP="0026771D">
      <w:pPr>
        <w:pStyle w:val="Sinespaciado"/>
        <w:numPr>
          <w:ilvl w:val="0"/>
          <w:numId w:val="8"/>
        </w:numPr>
        <w:rPr>
          <w:rFonts w:ascii="Times New Roman" w:hAnsi="Times New Roman" w:cs="Times New Roman"/>
          <w:b/>
          <w:sz w:val="24"/>
          <w:szCs w:val="24"/>
        </w:rPr>
      </w:pPr>
      <w:r w:rsidRPr="00FA7E5C">
        <w:rPr>
          <w:rFonts w:ascii="Times New Roman" w:hAnsi="Times New Roman" w:cs="Times New Roman"/>
          <w:b/>
          <w:sz w:val="24"/>
          <w:szCs w:val="24"/>
        </w:rPr>
        <w:t>La comunicación escrita de la imputación agiliza el proceso penal sin desconocer el derecho a la defensa</w:t>
      </w:r>
    </w:p>
    <w:p w:rsidR="00BC4010" w:rsidRPr="00FA7E5C" w:rsidRDefault="00BC4010" w:rsidP="00BC4010">
      <w:pPr>
        <w:pStyle w:val="Sinespaciado"/>
        <w:rPr>
          <w:rFonts w:ascii="Times New Roman" w:hAnsi="Times New Roman" w:cs="Times New Roman"/>
          <w:b/>
          <w:sz w:val="24"/>
          <w:szCs w:val="24"/>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El conocimiento de la imputación es un derecho consagrado en los instrumentos internacionales de derechos humanos suscritos por Colombia que se concreta mediante un acto de comunicación. La Ley 906 de 2004</w:t>
      </w:r>
      <w:r w:rsidR="0026771D"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introdujo la imputación  y advirtió que su finalidad era informativa acerca de la existencia de una investigación en contra de la persona. De esta manera se describe en la exposición de motivos </w:t>
      </w:r>
      <w:r w:rsidR="00FC18E2" w:rsidRPr="00FA7E5C">
        <w:rPr>
          <w:rFonts w:ascii="Times New Roman" w:eastAsia="Times New Roman" w:hAnsi="Times New Roman" w:cs="Times New Roman"/>
          <w:sz w:val="24"/>
          <w:szCs w:val="24"/>
          <w:lang w:eastAsia="es-CO"/>
        </w:rPr>
        <w:t xml:space="preserve">del Código de Procedimiento Penal </w:t>
      </w:r>
      <w:r w:rsidRPr="00FA7E5C">
        <w:rPr>
          <w:rFonts w:ascii="Times New Roman" w:eastAsia="Times New Roman" w:hAnsi="Times New Roman" w:cs="Times New Roman"/>
          <w:sz w:val="24"/>
          <w:szCs w:val="24"/>
          <w:lang w:eastAsia="es-CO"/>
        </w:rPr>
        <w:t>en el cual se afirmó: “Con este acto procesal se pretende única y exclusivamente informar a la persona que existe una investigación en su contra, por hechos que eventualmente pueden comprometer su responsabilidad penal, para que así el imputado en asocio de su defensor técnico, pueda comenzar a preparar de modo eficaz su actividad defensiva respecto de la eventual acusación en ciernes”. La Corte Constitucional se ha pronunciado en el mismo sentido y afirmó que “la diligencia de formulación de imputación tiene como objeto comunicar a una persona que se inicia en su contra un proceso penal”</w:t>
      </w:r>
      <w:r w:rsidR="0026771D" w:rsidRPr="00FA7E5C">
        <w:rPr>
          <w:rStyle w:val="Refdenotaalpie"/>
          <w:rFonts w:ascii="Times New Roman" w:eastAsia="Times New Roman" w:hAnsi="Times New Roman" w:cs="Times New Roman"/>
          <w:sz w:val="24"/>
          <w:szCs w:val="24"/>
          <w:lang w:eastAsia="es-CO"/>
        </w:rPr>
        <w:footnoteReference w:id="4"/>
      </w:r>
      <w:r w:rsidRPr="00FA7E5C">
        <w:rPr>
          <w:rFonts w:ascii="Times New Roman" w:eastAsia="Times New Roman" w:hAnsi="Times New Roman" w:cs="Times New Roman"/>
          <w:sz w:val="24"/>
          <w:szCs w:val="24"/>
          <w:lang w:eastAsia="es-CO"/>
        </w:rPr>
        <w:t>.</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Hoy en día, la imputación se lleva a cabo en una audiencia preliminar donde se comunica al indiciado la existencia de una investigación penal en su contra, también se especifican los hechos y su respectiva calificación jurídica para que, entre otros efectos, pueda activarse el ejercicio de su derecho a la defensa.</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26771D">
      <w:pPr>
        <w:pStyle w:val="Prrafodelista"/>
        <w:numPr>
          <w:ilvl w:val="0"/>
          <w:numId w:val="7"/>
        </w:numPr>
        <w:spacing w:after="0" w:line="240" w:lineRule="auto"/>
        <w:jc w:val="both"/>
        <w:textAlignment w:val="baseline"/>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Problemática con la audiencia de imputación</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lastRenderedPageBreak/>
        <w:t>La práctica ha demostrado que un acto que debería ser muy sencillo por su finalidad</w:t>
      </w:r>
      <w:r w:rsidR="007176F3"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se ha convertido en un juicio anticipado, porque en este se pretende dilucidar el tópico de la responsabilidad penal, el cual está reservado para debatirse en el juicio. Y, además, ha traído como consecuencia que los jueces de control de garantías deban dedicar un tiempo considerable a la evacuación de las audiencias, con efectos negativos en </w:t>
      </w:r>
      <w:r w:rsidR="00FC18E2" w:rsidRPr="00FA7E5C">
        <w:rPr>
          <w:rFonts w:ascii="Times New Roman" w:eastAsia="Times New Roman" w:hAnsi="Times New Roman" w:cs="Times New Roman"/>
          <w:sz w:val="24"/>
          <w:szCs w:val="24"/>
          <w:lang w:eastAsia="es-CO"/>
        </w:rPr>
        <w:t xml:space="preserve"> relación con </w:t>
      </w:r>
      <w:r w:rsidRPr="00FA7E5C">
        <w:rPr>
          <w:rFonts w:ascii="Times New Roman" w:eastAsia="Times New Roman" w:hAnsi="Times New Roman" w:cs="Times New Roman"/>
          <w:sz w:val="24"/>
          <w:szCs w:val="24"/>
          <w:lang w:eastAsia="es-CO"/>
        </w:rPr>
        <w:t>la eficiencia del proceso penal.</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Se han presentado dos problemáticas muy preocupantes con la audiencia de formulación de imputación: i) En primer lugar, hay serios problemas de articulación entre los diferentes actores del proceso penal, lo cual  impide que se celebren a tiempo las audiencias citadas en la mayoría de ocasiones; </w:t>
      </w:r>
      <w:proofErr w:type="spellStart"/>
      <w:r w:rsidRPr="00FA7E5C">
        <w:rPr>
          <w:rFonts w:ascii="Times New Roman" w:eastAsia="Times New Roman" w:hAnsi="Times New Roman" w:cs="Times New Roman"/>
          <w:sz w:val="24"/>
          <w:szCs w:val="24"/>
          <w:lang w:eastAsia="es-CO"/>
        </w:rPr>
        <w:t>ii</w:t>
      </w:r>
      <w:proofErr w:type="spellEnd"/>
      <w:r w:rsidRPr="00FA7E5C">
        <w:rPr>
          <w:rFonts w:ascii="Times New Roman" w:eastAsia="Times New Roman" w:hAnsi="Times New Roman" w:cs="Times New Roman"/>
          <w:sz w:val="24"/>
          <w:szCs w:val="24"/>
          <w:lang w:eastAsia="es-CO"/>
        </w:rPr>
        <w:t xml:space="preserve">) el acto de imputación </w:t>
      </w:r>
      <w:r w:rsidR="00FC18E2" w:rsidRPr="00FA7E5C">
        <w:rPr>
          <w:rFonts w:ascii="Times New Roman" w:eastAsia="Times New Roman" w:hAnsi="Times New Roman" w:cs="Times New Roman"/>
          <w:sz w:val="24"/>
          <w:szCs w:val="24"/>
          <w:lang w:eastAsia="es-CO"/>
        </w:rPr>
        <w:t xml:space="preserve">se </w:t>
      </w:r>
      <w:r w:rsidRPr="00FA7E5C">
        <w:rPr>
          <w:rFonts w:ascii="Times New Roman" w:eastAsia="Times New Roman" w:hAnsi="Times New Roman" w:cs="Times New Roman"/>
          <w:sz w:val="24"/>
          <w:szCs w:val="24"/>
          <w:lang w:eastAsia="es-CO"/>
        </w:rPr>
        <w:t xml:space="preserve">convirtió en un pequeño juicio oral que, al contrario de las disposiciones normativas y de los desarrollos jurisprudenciales, ha elevado innecesaria e inútilmente la complejidad de las audiencias </w:t>
      </w:r>
      <w:r w:rsidR="00FC18E2" w:rsidRPr="00FA7E5C">
        <w:rPr>
          <w:rFonts w:ascii="Times New Roman" w:eastAsia="Times New Roman" w:hAnsi="Times New Roman" w:cs="Times New Roman"/>
          <w:sz w:val="24"/>
          <w:szCs w:val="24"/>
          <w:lang w:eastAsia="es-CO"/>
        </w:rPr>
        <w:t>de imputación. Lo anterior ha causado</w:t>
      </w:r>
      <w:r w:rsidRPr="00FA7E5C">
        <w:rPr>
          <w:rFonts w:ascii="Times New Roman" w:eastAsia="Times New Roman" w:hAnsi="Times New Roman" w:cs="Times New Roman"/>
          <w:sz w:val="24"/>
          <w:szCs w:val="24"/>
          <w:lang w:eastAsia="es-CO"/>
        </w:rPr>
        <w:t xml:space="preserve"> enormes demoras en un acto procesal que debe</w:t>
      </w:r>
      <w:r w:rsidR="00FC18E2" w:rsidRPr="00FA7E5C">
        <w:rPr>
          <w:rFonts w:ascii="Times New Roman" w:eastAsia="Times New Roman" w:hAnsi="Times New Roman" w:cs="Times New Roman"/>
          <w:sz w:val="24"/>
          <w:szCs w:val="24"/>
          <w:lang w:eastAsia="es-CO"/>
        </w:rPr>
        <w:t>ría</w:t>
      </w:r>
      <w:r w:rsidRPr="00FA7E5C">
        <w:rPr>
          <w:rFonts w:ascii="Times New Roman" w:eastAsia="Times New Roman" w:hAnsi="Times New Roman" w:cs="Times New Roman"/>
          <w:sz w:val="24"/>
          <w:szCs w:val="24"/>
          <w:lang w:eastAsia="es-CO"/>
        </w:rPr>
        <w:t xml:space="preserve"> gozar de celeridad y sencillez en su realización.</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Frente a estas dos problemáticas, debe destacarse lo siguiente: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7176F3" w:rsidRPr="00FA7E5C" w:rsidRDefault="00BC4010" w:rsidP="007176F3">
      <w:pPr>
        <w:pStyle w:val="Prrafodelista"/>
        <w:numPr>
          <w:ilvl w:val="0"/>
          <w:numId w:val="10"/>
        </w:num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iCs/>
          <w:sz w:val="24"/>
          <w:szCs w:val="24"/>
          <w:lang w:eastAsia="es-CO"/>
        </w:rPr>
        <w:t>Imposibilidad de realizar las audiencias</w:t>
      </w:r>
      <w:r w:rsidRPr="00FA7E5C">
        <w:rPr>
          <w:rFonts w:ascii="Times New Roman" w:eastAsia="Times New Roman" w:hAnsi="Times New Roman" w:cs="Times New Roman"/>
          <w:b/>
          <w:bCs/>
          <w:sz w:val="24"/>
          <w:szCs w:val="24"/>
          <w:lang w:eastAsia="es-CO"/>
        </w:rPr>
        <w:t>.</w:t>
      </w:r>
      <w:r w:rsidRPr="00FA7E5C">
        <w:rPr>
          <w:rFonts w:ascii="Times New Roman" w:eastAsia="Times New Roman" w:hAnsi="Times New Roman" w:cs="Times New Roman"/>
          <w:sz w:val="24"/>
          <w:szCs w:val="24"/>
          <w:lang w:eastAsia="es-CO"/>
        </w:rPr>
        <w:t xml:space="preserve"> </w:t>
      </w:r>
    </w:p>
    <w:p w:rsidR="007176F3" w:rsidRPr="00FA7E5C" w:rsidRDefault="007176F3" w:rsidP="007176F3">
      <w:pPr>
        <w:spacing w:after="0" w:line="240" w:lineRule="auto"/>
        <w:jc w:val="both"/>
        <w:rPr>
          <w:rFonts w:ascii="Times New Roman" w:eastAsia="Times New Roman" w:hAnsi="Times New Roman" w:cs="Times New Roman"/>
          <w:sz w:val="24"/>
          <w:szCs w:val="24"/>
          <w:lang w:eastAsia="es-CO"/>
        </w:rPr>
      </w:pPr>
    </w:p>
    <w:p w:rsidR="00BC4010" w:rsidRPr="00FA7E5C" w:rsidRDefault="00BC4010" w:rsidP="007176F3">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Sobre este tópico, existen múltiples variables que conllevan al fracaso de la convocatoria de las audiencias. Estas incluyen la inasistencia justificada o injustificada de las partes e intervinientes a las audiencias,  el elevado número de solicitudes de aplazamiento e, incluso, las cancelaciones y reprogramaciones por cuenta de los operadores judiciales.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Según la Corporación Excelencia en la Justicia, durante el año 2013</w:t>
      </w:r>
      <w:r w:rsidR="00FC18E2"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w:t>
      </w:r>
      <w:proofErr w:type="gramStart"/>
      <w:r w:rsidRPr="00FA7E5C">
        <w:rPr>
          <w:rFonts w:ascii="Times New Roman" w:eastAsia="Times New Roman" w:hAnsi="Times New Roman" w:cs="Times New Roman"/>
          <w:sz w:val="24"/>
          <w:szCs w:val="24"/>
          <w:lang w:eastAsia="es-CO"/>
        </w:rPr>
        <w:t>solo</w:t>
      </w:r>
      <w:proofErr w:type="gramEnd"/>
      <w:r w:rsidRPr="00FA7E5C">
        <w:rPr>
          <w:rFonts w:ascii="Times New Roman" w:eastAsia="Times New Roman" w:hAnsi="Times New Roman" w:cs="Times New Roman"/>
          <w:sz w:val="24"/>
          <w:szCs w:val="24"/>
          <w:lang w:eastAsia="es-CO"/>
        </w:rPr>
        <w:t xml:space="preserve"> se llevó a cabo un 41% de la totalidad de audiencias solicitadas aproximadamente. Dentro del 59% de las audiencias que no se realizaron, pueden identificarse diferentes causas por las cuales las diligencias no se llevan a cabo: así, un 21% es atribuible a los defensores, 14% a los jueces y un 24% responde a otras razones.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consecuencia, es claro que existe una problemática severa producida por la no realización de las audiencias.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Téngase en cuenta que la realización de las audiencias de imputación implica un trabajo articulado y amplio por parte de los distintos operadores judiciales. Por ello, cuando la celebración de las audiencias fracasa, todo este trabajo invertido termina desaprovechado. Esto implica un desgaste </w:t>
      </w:r>
      <w:r w:rsidR="0074749F" w:rsidRPr="00FA7E5C">
        <w:rPr>
          <w:rFonts w:ascii="Times New Roman" w:eastAsia="Times New Roman" w:hAnsi="Times New Roman" w:cs="Times New Roman"/>
          <w:sz w:val="24"/>
          <w:szCs w:val="24"/>
          <w:lang w:eastAsia="es-CO"/>
        </w:rPr>
        <w:t>importante</w:t>
      </w:r>
      <w:r w:rsidRPr="00FA7E5C">
        <w:rPr>
          <w:rFonts w:ascii="Times New Roman" w:eastAsia="Times New Roman" w:hAnsi="Times New Roman" w:cs="Times New Roman"/>
          <w:sz w:val="24"/>
          <w:szCs w:val="24"/>
          <w:lang w:eastAsia="es-CO"/>
        </w:rPr>
        <w:t xml:space="preserve"> por parte de la administración de justicia para un acto tan sencillo como una audiencia de imputación.</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No solo se desaprovecha la labor y el tiempo de los funcionarios y medios, sino</w:t>
      </w:r>
      <w:r w:rsidR="00B674B6" w:rsidRPr="00FA7E5C">
        <w:rPr>
          <w:rFonts w:ascii="Times New Roman" w:eastAsia="Times New Roman" w:hAnsi="Times New Roman" w:cs="Times New Roman"/>
          <w:sz w:val="24"/>
          <w:szCs w:val="24"/>
          <w:lang w:eastAsia="es-CO"/>
        </w:rPr>
        <w:t xml:space="preserve"> que existe un </w:t>
      </w:r>
      <w:r w:rsidRPr="00FA7E5C">
        <w:rPr>
          <w:rFonts w:ascii="Times New Roman" w:eastAsia="Times New Roman" w:hAnsi="Times New Roman" w:cs="Times New Roman"/>
          <w:sz w:val="24"/>
          <w:szCs w:val="24"/>
          <w:lang w:eastAsia="es-CO"/>
        </w:rPr>
        <w:t xml:space="preserve">gasto de dinero </w:t>
      </w:r>
      <w:r w:rsidR="00B674B6" w:rsidRPr="00FA7E5C">
        <w:rPr>
          <w:rFonts w:ascii="Times New Roman" w:eastAsia="Times New Roman" w:hAnsi="Times New Roman" w:cs="Times New Roman"/>
          <w:sz w:val="24"/>
          <w:szCs w:val="24"/>
          <w:lang w:eastAsia="es-CO"/>
        </w:rPr>
        <w:t>asumido por</w:t>
      </w:r>
      <w:r w:rsidRPr="00FA7E5C">
        <w:rPr>
          <w:rFonts w:ascii="Times New Roman" w:eastAsia="Times New Roman" w:hAnsi="Times New Roman" w:cs="Times New Roman"/>
          <w:sz w:val="24"/>
          <w:szCs w:val="24"/>
          <w:lang w:eastAsia="es-CO"/>
        </w:rPr>
        <w:t xml:space="preserve"> el Estado para garantizar la presencia de las partes en una audiencia: un fiscal, un juez, un delegado del ministerio público y, algunas veces, un defensor público. Todo ese t</w:t>
      </w:r>
      <w:r w:rsidR="00B674B6" w:rsidRPr="00FA7E5C">
        <w:rPr>
          <w:rFonts w:ascii="Times New Roman" w:eastAsia="Times New Roman" w:hAnsi="Times New Roman" w:cs="Times New Roman"/>
          <w:sz w:val="24"/>
          <w:szCs w:val="24"/>
          <w:lang w:eastAsia="es-CO"/>
        </w:rPr>
        <w:t xml:space="preserve">iempo y recursos  en muchas ocasiones perdidos, se puede invertir en </w:t>
      </w:r>
      <w:r w:rsidRPr="00FA7E5C">
        <w:rPr>
          <w:rFonts w:ascii="Times New Roman" w:eastAsia="Times New Roman" w:hAnsi="Times New Roman" w:cs="Times New Roman"/>
          <w:sz w:val="24"/>
          <w:szCs w:val="24"/>
          <w:lang w:eastAsia="es-CO"/>
        </w:rPr>
        <w:t xml:space="preserve">otras labores que </w:t>
      </w:r>
      <w:r w:rsidR="00B674B6" w:rsidRPr="00FA7E5C">
        <w:rPr>
          <w:rFonts w:ascii="Times New Roman" w:eastAsia="Times New Roman" w:hAnsi="Times New Roman" w:cs="Times New Roman"/>
          <w:sz w:val="24"/>
          <w:szCs w:val="24"/>
          <w:lang w:eastAsia="es-CO"/>
        </w:rPr>
        <w:t xml:space="preserve">pueden </w:t>
      </w:r>
      <w:r w:rsidRPr="00FA7E5C">
        <w:rPr>
          <w:rFonts w:ascii="Times New Roman" w:eastAsia="Times New Roman" w:hAnsi="Times New Roman" w:cs="Times New Roman"/>
          <w:sz w:val="24"/>
          <w:szCs w:val="24"/>
          <w:lang w:eastAsia="es-CO"/>
        </w:rPr>
        <w:t>beneficien la administración de justicia y el cumplimiento de sus fines.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7176F3" w:rsidRPr="00FA7E5C" w:rsidRDefault="00BC4010" w:rsidP="007176F3">
      <w:pPr>
        <w:pStyle w:val="Prrafodelista"/>
        <w:numPr>
          <w:ilvl w:val="0"/>
          <w:numId w:val="10"/>
        </w:num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iCs/>
          <w:sz w:val="24"/>
          <w:szCs w:val="24"/>
          <w:lang w:eastAsia="es-CO"/>
        </w:rPr>
        <w:lastRenderedPageBreak/>
        <w:t>Desnaturalizació</w:t>
      </w:r>
      <w:r w:rsidR="007176F3" w:rsidRPr="00FA7E5C">
        <w:rPr>
          <w:rFonts w:ascii="Times New Roman" w:eastAsia="Times New Roman" w:hAnsi="Times New Roman" w:cs="Times New Roman"/>
          <w:b/>
          <w:bCs/>
          <w:iCs/>
          <w:sz w:val="24"/>
          <w:szCs w:val="24"/>
          <w:lang w:eastAsia="es-CO"/>
        </w:rPr>
        <w:t>n de la audiencia</w:t>
      </w:r>
    </w:p>
    <w:p w:rsidR="007176F3" w:rsidRPr="00FA7E5C" w:rsidRDefault="007176F3" w:rsidP="007176F3">
      <w:pPr>
        <w:spacing w:after="0" w:line="240" w:lineRule="auto"/>
        <w:jc w:val="both"/>
        <w:rPr>
          <w:rFonts w:ascii="Times New Roman" w:eastAsia="Times New Roman" w:hAnsi="Times New Roman" w:cs="Times New Roman"/>
          <w:sz w:val="24"/>
          <w:szCs w:val="24"/>
          <w:lang w:eastAsia="es-CO"/>
        </w:rPr>
      </w:pPr>
    </w:p>
    <w:p w:rsidR="00BC4010" w:rsidRPr="00FA7E5C" w:rsidRDefault="00BC4010" w:rsidP="007176F3">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Una vez instalada la audiencia de formulación de imputación, sea por captura en flagrancia, por orden de captura o por citación a la diligencia programada, inicia un debate con requerimientos probatorios y argumentativos que superan –y no por poco– lo demandado en la normatividad. En últimas, la audiencia se utiliza de otra forma y con fines distintos a los establecidos por la ley.</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Los debates acerca de tipicidad, antijuridicidad y culpabilidad, así como argumentaciones sobre la ausencia de responsabilidad y las discusiones acerca de la legalidad o legitimidad de las pruebas, no deberían llevarse a cabo en esta audiencia. Con todo, la práctica la ha convertido en una diligencia complicada y alejada de sus fines, lo que la ha desnaturalizado.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En suma, el acto de imputación debería evacuarse a través de una audiencia sin más controversia que la que podría suscitarse por la inobservancia en los requisitos de forma. No debería entonces ocuparse de discusiones que son propias de escenarios ulteriores del proceso.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Sin duda, no podría esperarse que un juez investido de la importantísima función constitucional de velar por el respeto de las garantías fundamentales de quienes intervienen en el proceso</w:t>
      </w:r>
      <w:r w:rsidR="00B674B6"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deba ser un mero espectador de la diligencia, lo que ha dejado abierta la brecha para discusiones interminables e irreconciliables acerca del verdadero papel del juez de control de garantías en esta audiencia de formulación de imputación y los límites o alcances de su función.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7176F3">
      <w:pPr>
        <w:pStyle w:val="Prrafodelista"/>
        <w:numPr>
          <w:ilvl w:val="0"/>
          <w:numId w:val="7"/>
        </w:numPr>
        <w:spacing w:after="0" w:line="240" w:lineRule="auto"/>
        <w:jc w:val="both"/>
        <w:textAlignment w:val="baseline"/>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Modificaciones al acto de imputación</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De acuerdo con lo anterior, se hace necesario reestructurar la diligencia de imputación de tal forma que puedan enfrentarse las distintas problemáticas que se presentan en la actualidad, siempre en búsqueda del respeto por las garantías procesales.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En la propuesta de reforma se optó por simplificar el trámite imputación sin perder de vista su objetivo, esto es</w:t>
      </w:r>
      <w:r w:rsidR="00B674B6"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comunicarle al procesado su calidad de investigado dentro de un proceso penal. Por ello, la nueva forma de comunicar la calidad de imputado se ha concebido como un mecanismo práctico, sencillo y desprovisto de mayores ritualidades</w:t>
      </w:r>
      <w:r w:rsidR="00B674B6"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pero permitiendo cumplir con el acto de comunicación sin formalidades improductivas que desnaturalicen el acto</w:t>
      </w:r>
      <w:r w:rsidR="00B674B6" w:rsidRPr="00FA7E5C">
        <w:rPr>
          <w:rFonts w:ascii="Times New Roman" w:eastAsia="Times New Roman" w:hAnsi="Times New Roman" w:cs="Times New Roman"/>
          <w:sz w:val="24"/>
          <w:szCs w:val="24"/>
          <w:lang w:eastAsia="es-CO"/>
        </w:rPr>
        <w:t xml:space="preserve">. </w:t>
      </w:r>
      <w:r w:rsidRPr="00FA7E5C">
        <w:rPr>
          <w:rFonts w:ascii="Times New Roman" w:eastAsia="Times New Roman" w:hAnsi="Times New Roman" w:cs="Times New Roman"/>
          <w:sz w:val="24"/>
          <w:szCs w:val="24"/>
          <w:lang w:eastAsia="es-CO"/>
        </w:rPr>
        <w:t xml:space="preserve">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7176F3">
      <w:pPr>
        <w:pStyle w:val="Prrafodelista"/>
        <w:numPr>
          <w:ilvl w:val="0"/>
          <w:numId w:val="11"/>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bCs/>
          <w:iCs/>
          <w:sz w:val="24"/>
          <w:szCs w:val="24"/>
          <w:lang w:eastAsia="es-CO"/>
        </w:rPr>
        <w:t>El acto de imputación se hará mediante acta escrita</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Dicho acto de comunicación de la imputación se realizará de forma escrita y se citará al indiciado para que este o su apoderado se dirijan a la Fiscalía General de la Nación a enterarse de la decisión. En caso de no asistir al acto, se</w:t>
      </w:r>
      <w:r w:rsidR="00B674B6" w:rsidRPr="00FA7E5C">
        <w:rPr>
          <w:rFonts w:ascii="Times New Roman" w:eastAsia="Times New Roman" w:hAnsi="Times New Roman" w:cs="Times New Roman"/>
          <w:sz w:val="24"/>
          <w:szCs w:val="24"/>
          <w:lang w:eastAsia="es-CO"/>
        </w:rPr>
        <w:t xml:space="preserve"> configuraran motivos para declarar</w:t>
      </w:r>
      <w:r w:rsidRPr="00FA7E5C">
        <w:rPr>
          <w:rFonts w:ascii="Times New Roman" w:eastAsia="Times New Roman" w:hAnsi="Times New Roman" w:cs="Times New Roman"/>
          <w:sz w:val="24"/>
          <w:szCs w:val="24"/>
          <w:lang w:eastAsia="es-CO"/>
        </w:rPr>
        <w:t xml:space="preserve"> contumaz al procesado.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lastRenderedPageBreak/>
        <w:t>Esa comunicación como acto de parte tiene por objeto informar al indagado que la Fiscalía General de la Nación ha iniciado una investigación penal en su contra y que, por lo tanto, adquiere la calidad de imputado a partir de esa comunicación</w:t>
      </w:r>
      <w:r w:rsidR="00B674B6" w:rsidRPr="00FA7E5C">
        <w:rPr>
          <w:rFonts w:ascii="Times New Roman" w:eastAsia="Times New Roman" w:hAnsi="Times New Roman" w:cs="Times New Roman"/>
          <w:sz w:val="24"/>
          <w:szCs w:val="24"/>
          <w:lang w:eastAsia="es-CO"/>
        </w:rPr>
        <w:t xml:space="preserve">.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La figura de la comunicación fue elegida por resultar la más conveniente de acuerdo con la finalidad última del acto. Así las cosas, se habla de comunicar que es, básicamente, enterar a la persona de la existencia de una investigación penal en su contra y presentarle los fundamentos por los cuales fue tomada la determinación de vincularlo a un proceso.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Esta comunicación cumple con los postulados reconocidos internacionalmente sobre garantías procesales que son exigidas en instrumentos internacionales como el Pacto Internacional de Derechos Civiles y Políticos, la Convención Americana sobre Derechos Humanos, el Pacto de San </w:t>
      </w:r>
      <w:r w:rsidR="00B674B6" w:rsidRPr="00FA7E5C">
        <w:rPr>
          <w:rFonts w:ascii="Times New Roman" w:eastAsia="Times New Roman" w:hAnsi="Times New Roman" w:cs="Times New Roman"/>
          <w:sz w:val="24"/>
          <w:szCs w:val="24"/>
          <w:lang w:eastAsia="es-CO"/>
        </w:rPr>
        <w:t>José de Costa Rica, entre otros y</w:t>
      </w:r>
      <w:r w:rsidRPr="00FA7E5C">
        <w:rPr>
          <w:rFonts w:ascii="Times New Roman" w:eastAsia="Times New Roman" w:hAnsi="Times New Roman" w:cs="Times New Roman"/>
          <w:sz w:val="24"/>
          <w:szCs w:val="24"/>
          <w:lang w:eastAsia="es-CO"/>
        </w:rPr>
        <w:t xml:space="preserve"> que indican que es deber del Estado enterar a la persona en contra de quien se adelanta un proceso penal para que pueda ejercer sus derechos de contradicción y defensa.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Los requerimientos contenidos en instrumentos internacionales en los cuales se hace un reconocimiento expreso de las implicaciones que tiene el hecho de que el ciudadano conozca que se adelanta una i</w:t>
      </w:r>
      <w:r w:rsidR="00B674B6" w:rsidRPr="00FA7E5C">
        <w:rPr>
          <w:rFonts w:ascii="Times New Roman" w:eastAsia="Times New Roman" w:hAnsi="Times New Roman" w:cs="Times New Roman"/>
          <w:sz w:val="24"/>
          <w:szCs w:val="24"/>
          <w:lang w:eastAsia="es-CO"/>
        </w:rPr>
        <w:t xml:space="preserve">nvestigación penal en su contra, </w:t>
      </w:r>
      <w:r w:rsidRPr="00FA7E5C">
        <w:rPr>
          <w:rFonts w:ascii="Times New Roman" w:eastAsia="Times New Roman" w:hAnsi="Times New Roman" w:cs="Times New Roman"/>
          <w:sz w:val="24"/>
          <w:szCs w:val="24"/>
          <w:lang w:eastAsia="es-CO"/>
        </w:rPr>
        <w:t xml:space="preserve">se satisfacen en esta propuesta y en el enteramiento que se desprende de la comunicación de la imputación, ya que a partir de ese conocimiento se activa la posibilidad de ejercicio de los derechos que comprometen la defensa del ciudadano.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7176F3">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iCs/>
          <w:sz w:val="24"/>
          <w:szCs w:val="24"/>
          <w:lang w:eastAsia="es-CO"/>
        </w:rPr>
        <w:t>Procedimiento de la comunicación</w:t>
      </w:r>
      <w:r w:rsidR="005E1A08" w:rsidRPr="00FA7E5C">
        <w:rPr>
          <w:rFonts w:ascii="Times New Roman" w:eastAsia="Times New Roman" w:hAnsi="Times New Roman" w:cs="Times New Roman"/>
          <w:b/>
          <w:bCs/>
          <w:iCs/>
          <w:sz w:val="24"/>
          <w:szCs w:val="24"/>
          <w:lang w:eastAsia="es-CO"/>
        </w:rPr>
        <w:t xml:space="preserve"> propuesto</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Para tales efectos, el fiscal del caso convocará al ciudadano en contra de quien se iniciará la investigación penal, para que en un plazo que no supere los diez días, de manera personal o a través de apoderado, acuda al despacho donde se tramitan las diligencias (o, en su defect</w:t>
      </w:r>
      <w:r w:rsidR="005E1A08" w:rsidRPr="00FA7E5C">
        <w:rPr>
          <w:rFonts w:ascii="Times New Roman" w:eastAsia="Times New Roman" w:hAnsi="Times New Roman" w:cs="Times New Roman"/>
          <w:sz w:val="24"/>
          <w:szCs w:val="24"/>
          <w:lang w:eastAsia="es-CO"/>
        </w:rPr>
        <w:t>o, ante un despacho comisionado. Ello, con el fin que</w:t>
      </w:r>
      <w:r w:rsidRPr="00FA7E5C">
        <w:rPr>
          <w:rFonts w:ascii="Times New Roman" w:eastAsia="Times New Roman" w:hAnsi="Times New Roman" w:cs="Times New Roman"/>
          <w:sz w:val="24"/>
          <w:szCs w:val="24"/>
          <w:lang w:eastAsia="es-CO"/>
        </w:rPr>
        <w:t xml:space="preserve"> le sea entregado el escrito mediante el cual conocerá las razones fácticas y jurídicas por las cuales el titular de la acción penal ha decidido iniciar una investigación formal en su contra, así como las consecuencias y efectos de tal determinación.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7176F3"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Al tratarse </w:t>
      </w:r>
      <w:r w:rsidR="005E1A08" w:rsidRPr="00FA7E5C">
        <w:rPr>
          <w:rFonts w:ascii="Times New Roman" w:eastAsia="Times New Roman" w:hAnsi="Times New Roman" w:cs="Times New Roman"/>
          <w:sz w:val="24"/>
          <w:szCs w:val="24"/>
          <w:lang w:eastAsia="es-CO"/>
        </w:rPr>
        <w:t xml:space="preserve">de un acto comunicación escrito, </w:t>
      </w:r>
      <w:r w:rsidRPr="00FA7E5C">
        <w:rPr>
          <w:rFonts w:ascii="Times New Roman" w:eastAsia="Times New Roman" w:hAnsi="Times New Roman" w:cs="Times New Roman"/>
          <w:sz w:val="24"/>
          <w:szCs w:val="24"/>
          <w:lang w:eastAsia="es-CO"/>
        </w:rPr>
        <w:t xml:space="preserve">no es necesario que la persona a imputar cuente con la asistencia de un abogado para la validez del acto. Ello es así, debido a la simplicidad de la diligencia y por cuanto en esa concreta circunstancia no hay disposición de derechos que demanden tal formalidad. Lo anterior no es óbice para que, si es la voluntad de quien ha sido convocado a enterarse del escrito, asista en compañía de un abogado. </w:t>
      </w:r>
    </w:p>
    <w:p w:rsidR="005E1A08" w:rsidRPr="00FA7E5C" w:rsidRDefault="005E1A08" w:rsidP="00BC4010">
      <w:pPr>
        <w:spacing w:after="0" w:line="240" w:lineRule="auto"/>
        <w:jc w:val="both"/>
        <w:rPr>
          <w:rFonts w:ascii="Times New Roman" w:eastAsia="Times New Roman" w:hAnsi="Times New Roman" w:cs="Times New Roman"/>
          <w:sz w:val="24"/>
          <w:szCs w:val="24"/>
          <w:lang w:eastAsia="es-CO"/>
        </w:rPr>
      </w:pPr>
    </w:p>
    <w:p w:rsidR="00BC4010" w:rsidRPr="00FA7E5C" w:rsidRDefault="00BC4010" w:rsidP="007176F3">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iCs/>
          <w:sz w:val="24"/>
          <w:szCs w:val="24"/>
          <w:lang w:eastAsia="es-CO"/>
        </w:rPr>
        <w:t>Requisitos de contenido</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El escrito que se pretende establecer como medio para enterar al indagado de la investigación que se inicia en su contra deberá contener:</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a) La individualización concreta del ciudadano a imputar, incluidos su nombre, los datos que sirvan para identificarlo y el domicilio de citaciones. </w:t>
      </w: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lastRenderedPageBreak/>
        <w:t xml:space="preserve">b) Una relación clara y sucinta de los hechos jurídicamente relevantes en lenguaje comprensible. </w:t>
      </w: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c) La calificación jurídica provisional. </w:t>
      </w: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d) La advertencia de que podrá ser llamado a juicio a través de la presentación del escrito de acusación. </w:t>
      </w: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 Información sobre la posibilidad de allanarse a los cargos comunicados, para lo cual se indicará la oportunidad y el beneficio punitivo que le corresponde en virtud de la justicia </w:t>
      </w:r>
      <w:proofErr w:type="spellStart"/>
      <w:r w:rsidRPr="00FA7E5C">
        <w:rPr>
          <w:rFonts w:ascii="Times New Roman" w:eastAsia="Times New Roman" w:hAnsi="Times New Roman" w:cs="Times New Roman"/>
          <w:sz w:val="24"/>
          <w:szCs w:val="24"/>
          <w:lang w:eastAsia="es-CO"/>
        </w:rPr>
        <w:t>premial</w:t>
      </w:r>
      <w:proofErr w:type="spellEnd"/>
      <w:r w:rsidRPr="00FA7E5C">
        <w:rPr>
          <w:rFonts w:ascii="Times New Roman" w:eastAsia="Times New Roman" w:hAnsi="Times New Roman" w:cs="Times New Roman"/>
          <w:sz w:val="24"/>
          <w:szCs w:val="24"/>
          <w:lang w:eastAsia="es-CO"/>
        </w:rPr>
        <w:t xml:space="preserve"> por este hecho.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5E1A08">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iCs/>
          <w:sz w:val="24"/>
          <w:szCs w:val="24"/>
          <w:lang w:eastAsia="es-CO"/>
        </w:rPr>
        <w:t>Acto de comunicación de la imputación durante la audiencia de medida de aseguramiento</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Otro de los aspectos relevantes materia de la modificación de la imputación es la posibilidad de realizar el acto de comunicación de la imputación de forma oral cuando la persona sea capturada en virtud de orden de captura o en los casos en los que resulte aprehendido por flagrancia.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Las normas relativas a la imposición de medida de aseguramiento deposita la carga probatoria de demostrar la existencia de inferencia razonable de la autoría o participación de la persona en la conducta endilgada en la Fiscalía, así como demostrar los fines constitucionales establecidos para que la restricción de la libertad sea legítima.</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ese orden de ideas, se identificó que en la práctica debe repetirse el acto de imputación cuando se realice la sustentación de la medida de aseguramiento, por cuanto la inferencia razonable de autoría y participación coincide en forma y estructura con el acto de imputar. En ese sentido, se obliga a un doble desgaste  para la imposición de medida de aseguramiento.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Así las cosas, con la reforma se entiende como comunicada la imputación</w:t>
      </w:r>
      <w:r w:rsidR="005E1A08"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cuando se agota el requisito de inferencia razonable de autoría o participación realizado durante la audiencia de imposición de medida de aseguramiento. En suma, se entiende comunicada la imputación con lo argumentado oralmente durante la audiencia de imposición de medida de aseguramiento. </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conclusión, existen dos formas distintas de llevar a cabo el acto de comunicación de la imputación: la primera consiste en realizar la imputación a través del acta escrita que se le comunicará al indiciado, y la segunda, a través de lo argumentado oralmente durante las audiencias de imposición de medida de aseguramiento en los casos de flagrancia o </w:t>
      </w:r>
      <w:r w:rsidR="005E1A08" w:rsidRPr="00FA7E5C">
        <w:rPr>
          <w:rFonts w:ascii="Times New Roman" w:eastAsia="Times New Roman" w:hAnsi="Times New Roman" w:cs="Times New Roman"/>
          <w:sz w:val="24"/>
          <w:szCs w:val="24"/>
          <w:lang w:eastAsia="es-CO"/>
        </w:rPr>
        <w:t xml:space="preserve">en aquellos en que media una </w:t>
      </w:r>
      <w:r w:rsidRPr="00FA7E5C">
        <w:rPr>
          <w:rFonts w:ascii="Times New Roman" w:eastAsia="Times New Roman" w:hAnsi="Times New Roman" w:cs="Times New Roman"/>
          <w:sz w:val="24"/>
          <w:szCs w:val="24"/>
          <w:lang w:eastAsia="es-CO"/>
        </w:rPr>
        <w:t>orden de captura.</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7176F3">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iCs/>
          <w:sz w:val="24"/>
          <w:szCs w:val="24"/>
          <w:lang w:eastAsia="es-CO"/>
        </w:rPr>
        <w:t>Aceptación de cargos de la imputación</w:t>
      </w:r>
    </w:p>
    <w:p w:rsidR="00BC4010" w:rsidRPr="00FA7E5C" w:rsidRDefault="00BC4010" w:rsidP="00BC4010">
      <w:pPr>
        <w:spacing w:after="0" w:line="240" w:lineRule="auto"/>
        <w:rPr>
          <w:rFonts w:ascii="Times New Roman" w:eastAsia="Times New Roman" w:hAnsi="Times New Roman" w:cs="Times New Roman"/>
          <w:sz w:val="24"/>
          <w:szCs w:val="24"/>
          <w:lang w:eastAsia="es-CO"/>
        </w:rPr>
      </w:pPr>
    </w:p>
    <w:p w:rsidR="00BC4010" w:rsidRPr="00FA7E5C" w:rsidRDefault="00BC4010" w:rsidP="00BC4010">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Para tramitar la aceptación de los cargos de la comunicación de imputación, el procesado podrá acercarse al fiscal del caso</w:t>
      </w:r>
      <w:r w:rsidR="005E1A08" w:rsidRPr="00FA7E5C">
        <w:rPr>
          <w:rFonts w:ascii="Times New Roman" w:eastAsia="Times New Roman" w:hAnsi="Times New Roman" w:cs="Times New Roman"/>
          <w:sz w:val="24"/>
          <w:szCs w:val="24"/>
          <w:lang w:eastAsia="es-CO"/>
        </w:rPr>
        <w:t xml:space="preserve">  para tal efecto</w:t>
      </w:r>
      <w:r w:rsidRPr="00FA7E5C">
        <w:rPr>
          <w:rFonts w:ascii="Times New Roman" w:eastAsia="Times New Roman" w:hAnsi="Times New Roman" w:cs="Times New Roman"/>
          <w:sz w:val="24"/>
          <w:szCs w:val="24"/>
          <w:lang w:eastAsia="es-CO"/>
        </w:rPr>
        <w:t>, en cualquier momento</w:t>
      </w:r>
      <w:r w:rsidR="005E1A08" w:rsidRPr="00FA7E5C">
        <w:rPr>
          <w:rFonts w:ascii="Times New Roman" w:eastAsia="Times New Roman" w:hAnsi="Times New Roman" w:cs="Times New Roman"/>
          <w:sz w:val="24"/>
          <w:szCs w:val="24"/>
          <w:lang w:eastAsia="es-CO"/>
        </w:rPr>
        <w:t>,</w:t>
      </w:r>
      <w:r w:rsidRPr="00FA7E5C">
        <w:rPr>
          <w:rFonts w:ascii="Times New Roman" w:eastAsia="Times New Roman" w:hAnsi="Times New Roman" w:cs="Times New Roman"/>
          <w:sz w:val="24"/>
          <w:szCs w:val="24"/>
          <w:lang w:eastAsia="es-CO"/>
        </w:rPr>
        <w:t xml:space="preserve"> después de recibir el acta. Con el fisca</w:t>
      </w:r>
      <w:r w:rsidR="005E1A08" w:rsidRPr="00FA7E5C">
        <w:rPr>
          <w:rFonts w:ascii="Times New Roman" w:eastAsia="Times New Roman" w:hAnsi="Times New Roman" w:cs="Times New Roman"/>
          <w:sz w:val="24"/>
          <w:szCs w:val="24"/>
          <w:lang w:eastAsia="es-CO"/>
        </w:rPr>
        <w:t xml:space="preserve">l del caso se suscribirá una constancia </w:t>
      </w:r>
      <w:r w:rsidRPr="00FA7E5C">
        <w:rPr>
          <w:rFonts w:ascii="Times New Roman" w:eastAsia="Times New Roman" w:hAnsi="Times New Roman" w:cs="Times New Roman"/>
          <w:sz w:val="24"/>
          <w:szCs w:val="24"/>
          <w:lang w:eastAsia="es-CO"/>
        </w:rPr>
        <w:t xml:space="preserve"> con la manifestación de aceptación y a esta se le adjuntará copia del acta de imputación. Posterior a ello, se llevarán esos documentos ante el juez de conocimiento para que este compruebe la validez de la </w:t>
      </w:r>
      <w:r w:rsidRPr="00FA7E5C">
        <w:rPr>
          <w:rFonts w:ascii="Times New Roman" w:eastAsia="Times New Roman" w:hAnsi="Times New Roman" w:cs="Times New Roman"/>
          <w:sz w:val="24"/>
          <w:szCs w:val="24"/>
          <w:lang w:eastAsia="es-CO"/>
        </w:rPr>
        <w:lastRenderedPageBreak/>
        <w:t>aceptación de cargos y proceda a individualizar pena y dictar sentencia. Lo anterior permitiría llevar a cabo la aceptación de cargos sin la necesidad de la presencia del juez de control de garantías</w:t>
      </w:r>
      <w:r w:rsidR="005E1A08" w:rsidRPr="00FA7E5C">
        <w:rPr>
          <w:rFonts w:ascii="Times New Roman" w:eastAsia="Times New Roman" w:hAnsi="Times New Roman" w:cs="Times New Roman"/>
          <w:sz w:val="24"/>
          <w:szCs w:val="24"/>
          <w:lang w:eastAsia="es-CO"/>
        </w:rPr>
        <w:t xml:space="preserve">. </w:t>
      </w:r>
    </w:p>
    <w:p w:rsidR="00BC4010" w:rsidRPr="00FA7E5C" w:rsidRDefault="00BC4010" w:rsidP="00BC4010">
      <w:pPr>
        <w:pStyle w:val="Sinespaciado"/>
        <w:rPr>
          <w:rFonts w:ascii="Times New Roman" w:hAnsi="Times New Roman" w:cs="Times New Roman"/>
          <w:b/>
          <w:sz w:val="24"/>
          <w:szCs w:val="24"/>
        </w:rPr>
      </w:pPr>
    </w:p>
    <w:p w:rsidR="00BC4010" w:rsidRPr="00FA7E5C" w:rsidRDefault="00BC4010" w:rsidP="00BC4010">
      <w:pPr>
        <w:pStyle w:val="Sinespaciado"/>
        <w:rPr>
          <w:rFonts w:ascii="Times New Roman" w:hAnsi="Times New Roman" w:cs="Times New Roman"/>
          <w:b/>
          <w:sz w:val="24"/>
          <w:szCs w:val="24"/>
        </w:rPr>
      </w:pPr>
    </w:p>
    <w:p w:rsidR="00872E33" w:rsidRPr="00FA7E5C" w:rsidRDefault="00872E33" w:rsidP="005E1A08">
      <w:pPr>
        <w:pStyle w:val="Sinespaciado"/>
        <w:numPr>
          <w:ilvl w:val="0"/>
          <w:numId w:val="8"/>
        </w:numPr>
        <w:jc w:val="both"/>
        <w:rPr>
          <w:rFonts w:ascii="Times New Roman" w:hAnsi="Times New Roman" w:cs="Times New Roman"/>
          <w:b/>
          <w:sz w:val="24"/>
          <w:szCs w:val="24"/>
        </w:rPr>
      </w:pPr>
      <w:r w:rsidRPr="00FA7E5C">
        <w:rPr>
          <w:rFonts w:ascii="Times New Roman" w:hAnsi="Times New Roman" w:cs="Times New Roman"/>
          <w:b/>
          <w:sz w:val="24"/>
          <w:szCs w:val="24"/>
        </w:rPr>
        <w:t xml:space="preserve">Las audiencias de lectura de fallo y de autos representan un </w:t>
      </w:r>
      <w:r w:rsidR="00202EBB" w:rsidRPr="00FA7E5C">
        <w:rPr>
          <w:rFonts w:ascii="Times New Roman" w:hAnsi="Times New Roman" w:cs="Times New Roman"/>
          <w:b/>
          <w:sz w:val="24"/>
          <w:szCs w:val="24"/>
        </w:rPr>
        <w:t>desgaste innecesario en la administración de justicia</w:t>
      </w:r>
    </w:p>
    <w:p w:rsidR="00792ADD" w:rsidRPr="00FA7E5C" w:rsidRDefault="00792ADD" w:rsidP="00792ADD">
      <w:pPr>
        <w:pStyle w:val="Sinespaciado"/>
        <w:jc w:val="both"/>
        <w:rPr>
          <w:rFonts w:ascii="Times New Roman" w:hAnsi="Times New Roman" w:cs="Times New Roman"/>
          <w:b/>
          <w:sz w:val="24"/>
          <w:szCs w:val="24"/>
        </w:rPr>
      </w:pPr>
    </w:p>
    <w:p w:rsidR="00677958" w:rsidRPr="00FA7E5C" w:rsidRDefault="00677958" w:rsidP="00792AD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audiencia de lectura de fallo y de autos se encuentra consagrada en el Código de Procedimiento Penal como una diligencia en la cual se instala la sesión en sala de audiencias, se abren los audios y se da lectura a una providencia previamente preparada por el juez. </w:t>
      </w:r>
    </w:p>
    <w:p w:rsidR="00677958" w:rsidRPr="00FA7E5C" w:rsidRDefault="00677958" w:rsidP="00792ADD">
      <w:pPr>
        <w:pStyle w:val="Sinespaciado"/>
        <w:jc w:val="both"/>
        <w:rPr>
          <w:rFonts w:ascii="Times New Roman" w:hAnsi="Times New Roman" w:cs="Times New Roman"/>
          <w:sz w:val="24"/>
          <w:szCs w:val="24"/>
        </w:rPr>
      </w:pPr>
    </w:p>
    <w:p w:rsidR="00677958" w:rsidRPr="00FA7E5C" w:rsidRDefault="00677958" w:rsidP="00792ADD">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En términos generales, se podría decir que esta práctica es la manera en que las partes, luego de haber sustentado sus pretensiones con anterioridad, pueda enterarse de la decisión final del juez. Esto es sin duda, uno de los aspectos más importantes de un sistema y una de las razones de ser del mismo pues de nada serviría la discusión y contradicción sin providencias que puedas dar la razón a una de las partes y modular la forma en que deben solucionarse los inconvenientes. </w:t>
      </w:r>
    </w:p>
    <w:p w:rsidR="00792ADD" w:rsidRPr="00FA7E5C" w:rsidRDefault="00792ADD" w:rsidP="00792ADD">
      <w:pPr>
        <w:spacing w:after="0" w:line="240" w:lineRule="auto"/>
        <w:rPr>
          <w:rFonts w:ascii="Times New Roman" w:eastAsia="Times New Roman" w:hAnsi="Times New Roman" w:cs="Times New Roman"/>
          <w:sz w:val="24"/>
          <w:szCs w:val="24"/>
          <w:lang w:eastAsia="es-CO"/>
        </w:rPr>
      </w:pPr>
    </w:p>
    <w:p w:rsidR="00792ADD" w:rsidRPr="00FA7E5C" w:rsidRDefault="00792ADD" w:rsidP="00252B0B">
      <w:pPr>
        <w:pStyle w:val="Prrafodelista"/>
        <w:numPr>
          <w:ilvl w:val="0"/>
          <w:numId w:val="13"/>
        </w:numPr>
        <w:spacing w:after="0" w:line="240" w:lineRule="auto"/>
        <w:jc w:val="both"/>
        <w:textAlignment w:val="baseline"/>
        <w:rPr>
          <w:rFonts w:ascii="Times New Roman" w:eastAsia="Times New Roman" w:hAnsi="Times New Roman" w:cs="Times New Roman"/>
          <w:sz w:val="24"/>
          <w:szCs w:val="24"/>
          <w:lang w:eastAsia="es-CO"/>
        </w:rPr>
      </w:pPr>
      <w:r w:rsidRPr="00FA7E5C">
        <w:rPr>
          <w:rFonts w:ascii="Times New Roman" w:eastAsia="Times New Roman" w:hAnsi="Times New Roman" w:cs="Times New Roman"/>
          <w:b/>
          <w:bCs/>
          <w:sz w:val="24"/>
          <w:szCs w:val="24"/>
          <w:lang w:eastAsia="es-CO"/>
        </w:rPr>
        <w:t xml:space="preserve">Problemática con la audiencia </w:t>
      </w:r>
      <w:r w:rsidR="00252B0B" w:rsidRPr="00FA7E5C">
        <w:rPr>
          <w:rFonts w:ascii="Times New Roman" w:eastAsia="Times New Roman" w:hAnsi="Times New Roman" w:cs="Times New Roman"/>
          <w:b/>
          <w:bCs/>
          <w:sz w:val="24"/>
          <w:szCs w:val="24"/>
          <w:lang w:eastAsia="es-CO"/>
        </w:rPr>
        <w:t>de lectura de fallo o de auto</w:t>
      </w:r>
    </w:p>
    <w:p w:rsidR="00792ADD" w:rsidRPr="00FA7E5C" w:rsidRDefault="00792ADD" w:rsidP="00792ADD">
      <w:pPr>
        <w:spacing w:after="0" w:line="240" w:lineRule="auto"/>
        <w:rPr>
          <w:rFonts w:ascii="Times New Roman" w:eastAsia="Times New Roman" w:hAnsi="Times New Roman" w:cs="Times New Roman"/>
          <w:sz w:val="24"/>
          <w:szCs w:val="24"/>
          <w:lang w:eastAsia="es-CO"/>
        </w:rPr>
      </w:pPr>
    </w:p>
    <w:p w:rsidR="008C51AD" w:rsidRPr="00FA7E5C" w:rsidRDefault="008C51AD" w:rsidP="00792ADD">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Consultada la realidad y tras un importante trabajo de observación, ha sido claro que la audiencia de lectura de fallo o auto, aun cuando en la mayoría de los casos se desarrolla, se basa principalmente en una lectura de una providencia previamente escrita, en la mayoría de casos, sin contar con la presencia de las partes del proceso. </w:t>
      </w:r>
    </w:p>
    <w:p w:rsidR="008C51AD" w:rsidRPr="00FA7E5C" w:rsidRDefault="008C51AD" w:rsidP="00792ADD">
      <w:pPr>
        <w:spacing w:after="0" w:line="240" w:lineRule="auto"/>
        <w:jc w:val="both"/>
        <w:rPr>
          <w:rFonts w:ascii="Times New Roman" w:eastAsia="Times New Roman" w:hAnsi="Times New Roman" w:cs="Times New Roman"/>
          <w:sz w:val="24"/>
          <w:szCs w:val="24"/>
          <w:lang w:eastAsia="es-CO"/>
        </w:rPr>
      </w:pPr>
    </w:p>
    <w:p w:rsidR="008C51AD" w:rsidRPr="00FA7E5C" w:rsidRDefault="008C51AD" w:rsidP="00792ADD">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Así, este tipo de diligencias terminan siendo una instalación de diligencias en las cuales, el juez, sin presencia de nadie, lee un texto para un supuesto enteramiento. En otras palabras, la supuesta audiencia donde deberían participar todos los actores del proceso, termina siendo una diligencia unilateral sin mayores propósitos. </w:t>
      </w:r>
    </w:p>
    <w:p w:rsidR="008C51AD" w:rsidRPr="00FA7E5C" w:rsidRDefault="008C51AD" w:rsidP="00792ADD">
      <w:pPr>
        <w:spacing w:after="0" w:line="240" w:lineRule="auto"/>
        <w:jc w:val="both"/>
        <w:rPr>
          <w:rFonts w:ascii="Times New Roman" w:eastAsia="Times New Roman" w:hAnsi="Times New Roman" w:cs="Times New Roman"/>
          <w:sz w:val="24"/>
          <w:szCs w:val="24"/>
          <w:lang w:eastAsia="es-CO"/>
        </w:rPr>
      </w:pPr>
    </w:p>
    <w:p w:rsidR="00792ADD" w:rsidRPr="00FA7E5C" w:rsidRDefault="008C51AD" w:rsidP="008C51AD">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este sentido, se identifican problemas esencialmente relacionados con la eficacia y celeridad en el proceso pues el desgaste de un juez  y una sala de audiencia para una simple lectura de un texto, no se encuentra de ninguna manera justificado. Son muchas las horas y recursos que se pierden en este tipo de diligencias, y que sin duda, serían de muchísima más utilidad para otro tipo de trabajos. </w:t>
      </w:r>
    </w:p>
    <w:p w:rsidR="00792ADD" w:rsidRPr="00FA7E5C" w:rsidRDefault="00792ADD" w:rsidP="00792ADD">
      <w:pPr>
        <w:pStyle w:val="Sinespaciado"/>
        <w:jc w:val="both"/>
        <w:rPr>
          <w:rFonts w:ascii="Times New Roman" w:hAnsi="Times New Roman" w:cs="Times New Roman"/>
          <w:b/>
          <w:sz w:val="24"/>
          <w:szCs w:val="24"/>
        </w:rPr>
      </w:pPr>
    </w:p>
    <w:p w:rsidR="00792ADD" w:rsidRPr="00FA7E5C" w:rsidRDefault="008C51AD" w:rsidP="008C51AD">
      <w:pPr>
        <w:pStyle w:val="Sinespaciado"/>
        <w:numPr>
          <w:ilvl w:val="0"/>
          <w:numId w:val="13"/>
        </w:numPr>
        <w:jc w:val="both"/>
        <w:rPr>
          <w:rFonts w:ascii="Times New Roman" w:hAnsi="Times New Roman" w:cs="Times New Roman"/>
          <w:b/>
          <w:sz w:val="24"/>
          <w:szCs w:val="24"/>
        </w:rPr>
      </w:pPr>
      <w:r w:rsidRPr="00FA7E5C">
        <w:rPr>
          <w:rFonts w:ascii="Times New Roman" w:eastAsia="Times New Roman" w:hAnsi="Times New Roman" w:cs="Times New Roman"/>
          <w:b/>
          <w:bCs/>
          <w:sz w:val="24"/>
          <w:szCs w:val="24"/>
          <w:lang w:eastAsia="es-CO"/>
        </w:rPr>
        <w:t>Modificaciones a la audiencia de lectura de sentencia o de auto</w:t>
      </w:r>
    </w:p>
    <w:p w:rsidR="008C51AD" w:rsidRPr="00FA7E5C" w:rsidRDefault="008C51AD" w:rsidP="008C51AD">
      <w:pPr>
        <w:pStyle w:val="Sinespaciado"/>
        <w:jc w:val="both"/>
        <w:rPr>
          <w:rFonts w:ascii="Times New Roman" w:eastAsia="Times New Roman" w:hAnsi="Times New Roman" w:cs="Times New Roman"/>
          <w:bCs/>
          <w:sz w:val="24"/>
          <w:szCs w:val="24"/>
          <w:lang w:eastAsia="es-CO"/>
        </w:rPr>
      </w:pPr>
    </w:p>
    <w:p w:rsidR="008C51AD" w:rsidRPr="00FA7E5C" w:rsidRDefault="008C51AD" w:rsidP="005F1AE3">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t xml:space="preserve">Reconociendo la necesidad de enterar a las partes sobre las providencias que son de su interés, y teniendo en cuenta la problemática anteriormente esbozada, el proyecto de ley ha propuesta la eliminación de este tipo de diligencias de enteramiento de la manera </w:t>
      </w:r>
      <w:r w:rsidR="005F1AE3" w:rsidRPr="00FA7E5C">
        <w:rPr>
          <w:rFonts w:ascii="Times New Roman" w:eastAsia="Times New Roman" w:hAnsi="Times New Roman" w:cs="Times New Roman"/>
          <w:bCs/>
          <w:sz w:val="24"/>
          <w:szCs w:val="24"/>
          <w:lang w:eastAsia="es-CO"/>
        </w:rPr>
        <w:t>e</w:t>
      </w:r>
      <w:r w:rsidRPr="00FA7E5C">
        <w:rPr>
          <w:rFonts w:ascii="Times New Roman" w:eastAsia="Times New Roman" w:hAnsi="Times New Roman" w:cs="Times New Roman"/>
          <w:bCs/>
          <w:sz w:val="24"/>
          <w:szCs w:val="24"/>
          <w:lang w:eastAsia="es-CO"/>
        </w:rPr>
        <w:t xml:space="preserve">n que se vienen realizando actualmente, y propone una nueva forma de comunicar a las partes sobre este tipo de decisiones. </w:t>
      </w: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lastRenderedPageBreak/>
        <w:t xml:space="preserve">De esta manera, se elimina una audiencia innecesaria a toda costa dentro del proceso pero se mantiene la necesidad de enterar a las partes. Por esta razón, esta propuesta ha querido adoptar el mismo procedimiento de enteramiento de sentencia que tiene el mismo código de procedimiento penal dentro del procedimiento penal abreviado. </w:t>
      </w: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t xml:space="preserve">Así, lo que existiría entonces es una diligencia de comunicación de las providencias a través de la secretaría del juzgado. En el caso de las sentencias, se leerá normalmente el sentido del fallo dentro del marco del juicio oral, luego se le dará la palabra a las partes para hacer las consideraciones necesarias acerca a de la pena y finalmente, en vez de citar para audiencia de lectura de fallo, el juzgado procederá a citar a una diligencia de comunicación. </w:t>
      </w: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t xml:space="preserve">La diligencia de comunicación no es más que la entrega de la providencia escrita a las partes, siendo necesario que la misma se dé dentro de los quince (15) días siguientes a la culminación de la audiencia de juicio oral. Luego de esto, se otorgará un término de diez (10) días para la presentación y sustentación de los recursos de manera escrita. </w:t>
      </w: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t xml:space="preserve">Igual diligencia se dará con respecto a los autos pero acortando el termino de quince (15) días por uno de cinco (5) dentro del cual se debe comunicar a las partes sobre el mismo. </w:t>
      </w:r>
    </w:p>
    <w:p w:rsidR="005F1AE3" w:rsidRPr="00FA7E5C" w:rsidRDefault="005F1AE3" w:rsidP="005F1AE3">
      <w:pPr>
        <w:pStyle w:val="Sinespaciado"/>
        <w:jc w:val="both"/>
        <w:rPr>
          <w:rFonts w:ascii="Times New Roman" w:eastAsia="Times New Roman" w:hAnsi="Times New Roman" w:cs="Times New Roman"/>
          <w:bCs/>
          <w:sz w:val="24"/>
          <w:szCs w:val="24"/>
          <w:lang w:eastAsia="es-CO"/>
        </w:rPr>
      </w:pPr>
    </w:p>
    <w:p w:rsidR="005F1AE3" w:rsidRPr="00FA7E5C" w:rsidRDefault="005F1AE3" w:rsidP="008C51AD">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t>Así pues, la modificación terminará por ahorrar muchísimas horas de trabajo de los jueces y generará mayor disponibil</w:t>
      </w:r>
      <w:r w:rsidR="009258C7" w:rsidRPr="00FA7E5C">
        <w:rPr>
          <w:rFonts w:ascii="Times New Roman" w:eastAsia="Times New Roman" w:hAnsi="Times New Roman" w:cs="Times New Roman"/>
          <w:bCs/>
          <w:sz w:val="24"/>
          <w:szCs w:val="24"/>
          <w:lang w:eastAsia="es-CO"/>
        </w:rPr>
        <w:t xml:space="preserve">idad de las salas de audiencias sin sacrificar la necesidad de enterar a las partes de sus providencias. Nuevamente, igual a como se hace con la modificación de la imputación, se está generando la misma garantía, se está persiguiendo el miso fin, pero a través de mecanismos más eficientes.  </w:t>
      </w:r>
    </w:p>
    <w:p w:rsidR="00D319AC" w:rsidRPr="00FA7E5C" w:rsidRDefault="00D319AC" w:rsidP="008C51AD">
      <w:pPr>
        <w:pStyle w:val="Sinespaciado"/>
        <w:jc w:val="both"/>
        <w:rPr>
          <w:rFonts w:ascii="Times New Roman" w:eastAsia="Times New Roman" w:hAnsi="Times New Roman" w:cs="Times New Roman"/>
          <w:bCs/>
          <w:sz w:val="24"/>
          <w:szCs w:val="24"/>
          <w:lang w:eastAsia="es-CO"/>
        </w:rPr>
      </w:pPr>
    </w:p>
    <w:p w:rsidR="00D319AC" w:rsidRPr="00FA7E5C" w:rsidRDefault="00D319AC" w:rsidP="008C51AD">
      <w:pPr>
        <w:pStyle w:val="Sinespaciado"/>
        <w:jc w:val="both"/>
        <w:rPr>
          <w:rFonts w:ascii="Times New Roman" w:eastAsia="Times New Roman" w:hAnsi="Times New Roman" w:cs="Times New Roman"/>
          <w:bCs/>
          <w:sz w:val="24"/>
          <w:szCs w:val="24"/>
          <w:lang w:eastAsia="es-CO"/>
        </w:rPr>
      </w:pPr>
      <w:r w:rsidRPr="00FA7E5C">
        <w:rPr>
          <w:rFonts w:ascii="Times New Roman" w:eastAsia="Times New Roman" w:hAnsi="Times New Roman" w:cs="Times New Roman"/>
          <w:bCs/>
          <w:sz w:val="24"/>
          <w:szCs w:val="24"/>
          <w:lang w:eastAsia="es-CO"/>
        </w:rPr>
        <w:t>Ahora bien, cabe aclarar que en el único momento en que no se ha propuesto la eliminación de la lectura del fallo, es aquel en que se lee la decisión luego de la apelación de la sentencia</w:t>
      </w:r>
      <w:r w:rsidR="00785153" w:rsidRPr="00FA7E5C">
        <w:rPr>
          <w:rFonts w:ascii="Times New Roman" w:eastAsia="Times New Roman" w:hAnsi="Times New Roman" w:cs="Times New Roman"/>
          <w:bCs/>
          <w:sz w:val="24"/>
          <w:szCs w:val="24"/>
          <w:lang w:eastAsia="es-CO"/>
        </w:rPr>
        <w:t>.</w:t>
      </w:r>
      <w:r w:rsidRPr="00FA7E5C">
        <w:rPr>
          <w:rFonts w:ascii="Times New Roman" w:eastAsia="Times New Roman" w:hAnsi="Times New Roman" w:cs="Times New Roman"/>
          <w:bCs/>
          <w:sz w:val="24"/>
          <w:szCs w:val="24"/>
          <w:lang w:eastAsia="es-CO"/>
        </w:rPr>
        <w:t xml:space="preserve"> </w:t>
      </w:r>
    </w:p>
    <w:p w:rsidR="00D319AC" w:rsidRPr="00FA7E5C" w:rsidRDefault="00D319AC" w:rsidP="008C51AD">
      <w:pPr>
        <w:pStyle w:val="Sinespaciado"/>
        <w:jc w:val="both"/>
        <w:rPr>
          <w:rFonts w:ascii="Times New Roman" w:eastAsia="Times New Roman" w:hAnsi="Times New Roman" w:cs="Times New Roman"/>
          <w:bCs/>
          <w:sz w:val="24"/>
          <w:szCs w:val="24"/>
          <w:lang w:eastAsia="es-CO"/>
        </w:rPr>
      </w:pPr>
    </w:p>
    <w:p w:rsidR="00D319AC" w:rsidRPr="00FA7E5C" w:rsidRDefault="00D319AC" w:rsidP="00D319AC">
      <w:pPr>
        <w:pStyle w:val="Textocomentario"/>
        <w:jc w:val="both"/>
        <w:rPr>
          <w:rFonts w:ascii="Times New Roman" w:hAnsi="Times New Roman" w:cs="Times New Roman"/>
          <w:color w:val="auto"/>
          <w:sz w:val="24"/>
          <w:szCs w:val="24"/>
        </w:rPr>
      </w:pPr>
      <w:r w:rsidRPr="00FA7E5C">
        <w:rPr>
          <w:rFonts w:ascii="Times New Roman" w:hAnsi="Times New Roman" w:cs="Times New Roman"/>
          <w:color w:val="auto"/>
          <w:sz w:val="24"/>
          <w:szCs w:val="24"/>
        </w:rPr>
        <w:t>Lo anterior, dado que una vez revisado el artículo correspondiente</w:t>
      </w:r>
      <w:r w:rsidR="00785153" w:rsidRPr="00FA7E5C">
        <w:rPr>
          <w:rFonts w:ascii="Times New Roman" w:hAnsi="Times New Roman" w:cs="Times New Roman"/>
          <w:color w:val="auto"/>
          <w:sz w:val="24"/>
          <w:szCs w:val="24"/>
        </w:rPr>
        <w:t>,</w:t>
      </w:r>
      <w:r w:rsidRPr="00FA7E5C">
        <w:rPr>
          <w:rFonts w:ascii="Times New Roman" w:hAnsi="Times New Roman" w:cs="Times New Roman"/>
          <w:color w:val="auto"/>
          <w:sz w:val="24"/>
          <w:szCs w:val="24"/>
        </w:rPr>
        <w:t xml:space="preserve"> se concluyó que eliminar la audiencia de lectura de fallo en este momento procesal, podría afectar el derecho a la defensa. Sustituir la audiencia de lectura de fallo de segunda instancia por la comunicación el fallo, aunado a la presunción de comunicación efectiva en caso de no concurrir a la convocatoria, podría implicar una vulneración del derecho a la defensa ya que el procedimiento no establece las garantías necesarias para conocer la decisión de segunda instancia</w:t>
      </w:r>
      <w:r w:rsidR="00785153" w:rsidRPr="00FA7E5C">
        <w:rPr>
          <w:rFonts w:ascii="Times New Roman" w:hAnsi="Times New Roman" w:cs="Times New Roman"/>
          <w:color w:val="auto"/>
          <w:sz w:val="24"/>
          <w:szCs w:val="24"/>
        </w:rPr>
        <w:t xml:space="preserve">. </w:t>
      </w:r>
      <w:r w:rsidRPr="00FA7E5C">
        <w:rPr>
          <w:rFonts w:ascii="Times New Roman" w:hAnsi="Times New Roman" w:cs="Times New Roman"/>
          <w:color w:val="auto"/>
          <w:sz w:val="24"/>
          <w:szCs w:val="24"/>
        </w:rPr>
        <w:t xml:space="preserve"> </w:t>
      </w:r>
    </w:p>
    <w:p w:rsidR="00D319AC" w:rsidRPr="00FA7E5C" w:rsidRDefault="00785153" w:rsidP="00785153">
      <w:pPr>
        <w:pStyle w:val="Textocomentario"/>
        <w:jc w:val="both"/>
        <w:rPr>
          <w:rFonts w:ascii="Times New Roman" w:hAnsi="Times New Roman" w:cs="Times New Roman"/>
          <w:color w:val="auto"/>
          <w:sz w:val="24"/>
          <w:szCs w:val="24"/>
        </w:rPr>
      </w:pPr>
      <w:r w:rsidRPr="00FA7E5C">
        <w:rPr>
          <w:rFonts w:ascii="Times New Roman" w:hAnsi="Times New Roman" w:cs="Times New Roman"/>
          <w:color w:val="auto"/>
          <w:sz w:val="24"/>
          <w:szCs w:val="24"/>
        </w:rPr>
        <w:t>En el procedimiento de primera instancia, una vez terminados los alegatos conclusivos, se procede a comunicar el sentido del fallo, y luego, de acuerdo a la propuesta, se da la comunicación de la sentencia de manera escrita. Cuando se trata de una decisión de segunda instancia, no existe el momento procesal del sentido del fallo,  por lo tanto, no hay un primer momento para que el pr</w:t>
      </w:r>
      <w:r w:rsidR="00B851BA" w:rsidRPr="00FA7E5C">
        <w:rPr>
          <w:rFonts w:ascii="Times New Roman" w:hAnsi="Times New Roman" w:cs="Times New Roman"/>
          <w:color w:val="auto"/>
          <w:sz w:val="24"/>
          <w:szCs w:val="24"/>
        </w:rPr>
        <w:t>ocesado conozca si ha sido declarado responsable</w:t>
      </w:r>
      <w:r w:rsidRPr="00FA7E5C">
        <w:rPr>
          <w:rFonts w:ascii="Times New Roman" w:hAnsi="Times New Roman" w:cs="Times New Roman"/>
          <w:color w:val="auto"/>
          <w:sz w:val="24"/>
          <w:szCs w:val="24"/>
        </w:rPr>
        <w:t xml:space="preserve">. Dada la ausencia de esta garantía, y luego de ponderar la eficacia a la justicia con los derechos del procesado, se ha concluido que es necesario que la audiencia de lectura de sentencia permanezca </w:t>
      </w:r>
      <w:r w:rsidR="00B851BA" w:rsidRPr="00FA7E5C">
        <w:rPr>
          <w:rFonts w:ascii="Times New Roman" w:hAnsi="Times New Roman" w:cs="Times New Roman"/>
          <w:color w:val="auto"/>
          <w:sz w:val="24"/>
          <w:szCs w:val="24"/>
        </w:rPr>
        <w:t>para los eventos de los fallos de segunda instancia</w:t>
      </w:r>
      <w:r w:rsidRPr="00FA7E5C">
        <w:rPr>
          <w:rFonts w:ascii="Times New Roman" w:hAnsi="Times New Roman" w:cs="Times New Roman"/>
          <w:color w:val="auto"/>
          <w:sz w:val="24"/>
          <w:szCs w:val="24"/>
        </w:rPr>
        <w:t xml:space="preserve">. </w:t>
      </w:r>
    </w:p>
    <w:p w:rsidR="00785153" w:rsidRPr="00FA7E5C" w:rsidRDefault="00785153" w:rsidP="00785153">
      <w:pPr>
        <w:pStyle w:val="Textocomentario"/>
        <w:jc w:val="both"/>
        <w:rPr>
          <w:rFonts w:ascii="Times New Roman" w:hAnsi="Times New Roman" w:cs="Times New Roman"/>
          <w:color w:val="auto"/>
          <w:sz w:val="24"/>
          <w:szCs w:val="24"/>
        </w:rPr>
      </w:pPr>
    </w:p>
    <w:p w:rsidR="00D319AC" w:rsidRPr="00FA7E5C" w:rsidRDefault="00D319AC" w:rsidP="00D319AC">
      <w:pPr>
        <w:pStyle w:val="Sinespaciado"/>
        <w:numPr>
          <w:ilvl w:val="0"/>
          <w:numId w:val="1"/>
        </w:numPr>
        <w:rPr>
          <w:rFonts w:ascii="Times New Roman" w:hAnsi="Times New Roman" w:cs="Times New Roman"/>
          <w:b/>
          <w:sz w:val="24"/>
          <w:szCs w:val="24"/>
        </w:rPr>
      </w:pPr>
      <w:r w:rsidRPr="00FA7E5C">
        <w:rPr>
          <w:rFonts w:ascii="Times New Roman" w:hAnsi="Times New Roman" w:cs="Times New Roman"/>
          <w:b/>
          <w:sz w:val="24"/>
          <w:szCs w:val="24"/>
        </w:rPr>
        <w:t>EL PROYECTO DE LEY PRETENDE AJUSTAR LOS MECANISMOS DE REPARACIÓN A LOS QUE PUEDEN ACCEDER LAS VÍCTIMAS A LOS ESTÁNDARES INTERNACIONALES</w:t>
      </w:r>
    </w:p>
    <w:p w:rsidR="00202EBB" w:rsidRPr="00FA7E5C" w:rsidRDefault="00202EBB" w:rsidP="00004289">
      <w:pPr>
        <w:pStyle w:val="Sinespaciado"/>
        <w:ind w:left="1440"/>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Tanto la jurisprudencia de la Corte Constitucional como de los organismos internacionales ha reconocido de manera suficiente que las víctimas tienen derecho a la verdad, la justicia, la reparación y a las garantías de no repetición. Estos derechos corresponden a un todo inescindible, solo con la plena satisfacción de cada uno de ellos es posible lograr la reivindicación humana de las víctimas</w:t>
      </w:r>
      <w:r w:rsidRPr="00FA7E5C">
        <w:rPr>
          <w:rFonts w:ascii="Times New Roman" w:hAnsi="Times New Roman" w:cs="Times New Roman"/>
          <w:sz w:val="24"/>
          <w:szCs w:val="24"/>
          <w:vertAlign w:val="superscript"/>
        </w:rPr>
        <w:footnoteReference w:id="5"/>
      </w:r>
      <w:r w:rsidRPr="00FA7E5C">
        <w:rPr>
          <w:rFonts w:ascii="Times New Roman" w:hAnsi="Times New Roman" w:cs="Times New Roman"/>
          <w:sz w:val="24"/>
          <w:szCs w:val="24"/>
        </w:rPr>
        <w:t xml:space="preserve">. El proceso penal es uno de los mecanismos judiciales que permite hacer efectivos estos derechos toda vez que, la investigación permite un acercamiento a la verdad, la atribución de la responsabilidad a quien corresponda implica un estándar de justicia y las medidas que adoptan los fiscales y jueces de conocimiento en favor de las víctimas propenden por una adecuada reparación y garantías de no repetición.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En este contexto, el proyecto de ley pretende de manera puntual maximizar el derecho a la reparación. Esta garantía ha sido una de las más vulneradas a las víctimas de las conductas punibles, en tanto, los mecanismos judiciales que actualmente consagra la normatividad no han resultado lo suficientemente efectivos. La ausencia de dichos mecanismos en últimas conlleva a un desconocimiento judicial de las víctimas quienes pretenden elevar sus reclamos a través de las vías propias del Estado de Social y Democrático de Derecho.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Con el propósito de exponer las razones por las cuales los mecanismo actualmente consagrados en la legislación no han resultado lo suficientemente efectivos, es pertinente hacer referencia, en primer lugar, (i) al contenido y alcance del derecho a la reparación de las víctimas. Luego (</w:t>
      </w:r>
      <w:proofErr w:type="spellStart"/>
      <w:r w:rsidRPr="00FA7E5C">
        <w:rPr>
          <w:rFonts w:ascii="Times New Roman" w:hAnsi="Times New Roman" w:cs="Times New Roman"/>
          <w:sz w:val="24"/>
          <w:szCs w:val="24"/>
        </w:rPr>
        <w:t>ii</w:t>
      </w:r>
      <w:proofErr w:type="spellEnd"/>
      <w:r w:rsidRPr="00FA7E5C">
        <w:rPr>
          <w:rFonts w:ascii="Times New Roman" w:hAnsi="Times New Roman" w:cs="Times New Roman"/>
          <w:sz w:val="24"/>
          <w:szCs w:val="24"/>
        </w:rPr>
        <w:t>) a las razones por las cuales los mecanismos consagrados en el ordenamiento jurídico no han logrado garantizar la adecuada reparación de las víctimas. Lo anterior para proceder a sustentar que (</w:t>
      </w:r>
      <w:proofErr w:type="spellStart"/>
      <w:r w:rsidRPr="00FA7E5C">
        <w:rPr>
          <w:rFonts w:ascii="Times New Roman" w:hAnsi="Times New Roman" w:cs="Times New Roman"/>
          <w:sz w:val="24"/>
          <w:szCs w:val="24"/>
        </w:rPr>
        <w:t>iii</w:t>
      </w:r>
      <w:proofErr w:type="spellEnd"/>
      <w:r w:rsidRPr="00FA7E5C">
        <w:rPr>
          <w:rFonts w:ascii="Times New Roman" w:hAnsi="Times New Roman" w:cs="Times New Roman"/>
          <w:sz w:val="24"/>
          <w:szCs w:val="24"/>
        </w:rPr>
        <w:t xml:space="preserve">) el presente proyecto de ley ajusta los mecanismos judiciales al alcance del derecho de reparación, en favor de una mayor efectividad de este derecho fundamental.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numPr>
          <w:ilvl w:val="0"/>
          <w:numId w:val="18"/>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Contenido y alcance del derecho a la reparación de las víctimas</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Los derechos de las víctimas de injustos penales han sido ampliamente reconocidos por varios instrumentos de derecho internacionales de derechos humanos, incorporados al ordenamiento interno en virtud del artículo 93 de la Constitución Política</w:t>
      </w:r>
      <w:r w:rsidRPr="00FA7E5C">
        <w:rPr>
          <w:rFonts w:ascii="Times New Roman" w:hAnsi="Times New Roman" w:cs="Times New Roman"/>
          <w:sz w:val="24"/>
          <w:szCs w:val="24"/>
          <w:vertAlign w:val="superscript"/>
        </w:rPr>
        <w:footnoteReference w:id="6"/>
      </w:r>
      <w:r w:rsidRPr="00FA7E5C">
        <w:rPr>
          <w:rFonts w:ascii="Times New Roman" w:hAnsi="Times New Roman" w:cs="Times New Roman"/>
          <w:sz w:val="24"/>
          <w:szCs w:val="24"/>
        </w:rPr>
        <w:t xml:space="preserve">.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De conformidad con los reiterados pronunciamientos de la Corte Constitucional y los antecedentes de la construcción de la Ley 906 de 2004 es posible concluir que la protección y reparación integral de la víctima son objetivos propios del sistema penal colombiano</w:t>
      </w:r>
      <w:r w:rsidRPr="00FA7E5C">
        <w:rPr>
          <w:rFonts w:ascii="Times New Roman" w:hAnsi="Times New Roman" w:cs="Times New Roman"/>
          <w:sz w:val="24"/>
          <w:szCs w:val="24"/>
          <w:vertAlign w:val="superscript"/>
        </w:rPr>
        <w:footnoteReference w:id="7"/>
      </w:r>
      <w:r w:rsidRPr="00FA7E5C">
        <w:rPr>
          <w:rFonts w:ascii="Times New Roman" w:hAnsi="Times New Roman" w:cs="Times New Roman"/>
          <w:sz w:val="24"/>
          <w:szCs w:val="24"/>
        </w:rPr>
        <w:t>. En ese sentido la Corporación ha señalado que los derechos de las víctimas revisten importancia de rango constitucional en el escenario de un Estado Social y Democrático de Derecho</w:t>
      </w:r>
      <w:r w:rsidRPr="00FA7E5C">
        <w:rPr>
          <w:rFonts w:ascii="Times New Roman" w:hAnsi="Times New Roman" w:cs="Times New Roman"/>
          <w:sz w:val="24"/>
          <w:szCs w:val="24"/>
          <w:vertAlign w:val="superscript"/>
        </w:rPr>
        <w:footnoteReference w:id="8"/>
      </w:r>
      <w:r w:rsidRPr="00FA7E5C">
        <w:rPr>
          <w:rFonts w:ascii="Times New Roman" w:hAnsi="Times New Roman" w:cs="Times New Roman"/>
          <w:sz w:val="24"/>
          <w:szCs w:val="24"/>
        </w:rPr>
        <w:t>, motivo por el cual el constituyente consagró su especial protección como uno de los deberes de la Fiscalía General de la Nación del artículo 250 de la Constitución Política</w:t>
      </w:r>
      <w:r w:rsidRPr="00FA7E5C">
        <w:rPr>
          <w:rFonts w:ascii="Times New Roman" w:hAnsi="Times New Roman" w:cs="Times New Roman"/>
          <w:sz w:val="24"/>
          <w:szCs w:val="24"/>
          <w:vertAlign w:val="superscript"/>
        </w:rPr>
        <w:footnoteReference w:id="9"/>
      </w:r>
      <w:r w:rsidRPr="00FA7E5C">
        <w:rPr>
          <w:rFonts w:ascii="Times New Roman" w:hAnsi="Times New Roman" w:cs="Times New Roman"/>
          <w:sz w:val="24"/>
          <w:szCs w:val="24"/>
        </w:rPr>
        <w:t xml:space="preserve">.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Ahora bien el legislador cuenta con un amplio margen de configuración legislativa para establecer los mecanismos judiciales con los que cuentan las víctimas para acceder a la restitución de sus derechos, cuyo único límite es el respeto por los derechos sustanciales y garantías esenciales de las personas</w:t>
      </w:r>
      <w:r w:rsidRPr="00FA7E5C">
        <w:rPr>
          <w:rFonts w:ascii="Times New Roman" w:hAnsi="Times New Roman" w:cs="Times New Roman"/>
          <w:sz w:val="24"/>
          <w:szCs w:val="24"/>
          <w:vertAlign w:val="superscript"/>
        </w:rPr>
        <w:footnoteReference w:id="10"/>
      </w:r>
      <w:r w:rsidRPr="00FA7E5C">
        <w:rPr>
          <w:rFonts w:ascii="Times New Roman" w:hAnsi="Times New Roman" w:cs="Times New Roman"/>
          <w:sz w:val="24"/>
          <w:szCs w:val="24"/>
        </w:rPr>
        <w:t xml:space="preserve">.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En materia de reparación integral de las víctimas la jurisprudencia constitucional ha señalado que de conformidad con el bloque de constitucional esta garantía debe observar las siguientes reglas. En primer lugar, las medidas a adoptar deben ser integrales y plenas, de manera tal que el juez busque en lo posible que las víctimas puedan volver al estado anterior a la vulneración. Las autoridades deben adoptar otro tipo de medidas no solo distributivas, sino retributivas para lograr una dignificación de la víctima. En caso de no ser posible, es necesario ordenar la compensación a través de medidas indemnizatorias.</w:t>
      </w:r>
      <w:r w:rsidRPr="00FA7E5C">
        <w:rPr>
          <w:rFonts w:ascii="Times New Roman" w:hAnsi="Times New Roman" w:cs="Times New Roman"/>
          <w:sz w:val="24"/>
          <w:szCs w:val="24"/>
          <w:vertAlign w:val="superscript"/>
        </w:rPr>
        <w:footnoteReference w:id="11"/>
      </w:r>
      <w:r w:rsidRPr="00FA7E5C">
        <w:rPr>
          <w:rFonts w:ascii="Times New Roman" w:hAnsi="Times New Roman" w:cs="Times New Roman"/>
          <w:sz w:val="24"/>
          <w:szCs w:val="24"/>
        </w:rPr>
        <w:t xml:space="preserve">.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hd w:val="clear" w:color="auto" w:fill="FFFFFF"/>
        <w:spacing w:after="0" w:line="240" w:lineRule="auto"/>
        <w:ind w:right="-1"/>
        <w:jc w:val="both"/>
        <w:textAlignment w:val="baseline"/>
        <w:rPr>
          <w:rFonts w:ascii="Times New Roman" w:eastAsia="Times New Roman" w:hAnsi="Times New Roman" w:cs="Times New Roman"/>
          <w:sz w:val="24"/>
          <w:szCs w:val="24"/>
          <w:bdr w:val="none" w:sz="0" w:space="0" w:color="auto" w:frame="1"/>
          <w:lang w:eastAsia="es-CO"/>
        </w:rPr>
      </w:pPr>
      <w:r w:rsidRPr="00FA7E5C">
        <w:rPr>
          <w:rFonts w:ascii="Times New Roman" w:eastAsia="Times New Roman" w:hAnsi="Times New Roman" w:cs="Times New Roman"/>
          <w:sz w:val="24"/>
          <w:szCs w:val="24"/>
          <w:bdr w:val="none" w:sz="0" w:space="0" w:color="auto" w:frame="1"/>
          <w:lang w:eastAsia="es-CO"/>
        </w:rPr>
        <w:t xml:space="preserve">En segundo lugar, la Corporación ha reconocido que la reparación tiene al menos dos dimensiones, una individual y otra colectiva. En la dimensión individual las autoridades judiciales deben adoptar decisiones como la restitución, la indemnización, la readaptación o rehabilitación, y las garantías de no repetición. Mientras que en la dimensión colectiva deberán atender de manera especial las medidas de satisfacción y el carácter simbólico de la </w:t>
      </w:r>
      <w:r w:rsidRPr="00FA7E5C">
        <w:rPr>
          <w:rFonts w:ascii="Times New Roman" w:eastAsia="Times New Roman" w:hAnsi="Times New Roman" w:cs="Times New Roman"/>
          <w:sz w:val="24"/>
          <w:szCs w:val="24"/>
          <w:bdr w:val="none" w:sz="0" w:space="0" w:color="auto" w:frame="1"/>
          <w:lang w:eastAsia="es-CO"/>
        </w:rPr>
        <w:lastRenderedPageBreak/>
        <w:t>reparación</w:t>
      </w:r>
      <w:r w:rsidRPr="00FA7E5C">
        <w:rPr>
          <w:rFonts w:ascii="Times New Roman" w:eastAsia="Times New Roman" w:hAnsi="Times New Roman" w:cs="Times New Roman"/>
          <w:sz w:val="24"/>
          <w:szCs w:val="24"/>
          <w:bdr w:val="none" w:sz="0" w:space="0" w:color="auto" w:frame="1"/>
          <w:vertAlign w:val="superscript"/>
          <w:lang w:eastAsia="es-CO"/>
        </w:rPr>
        <w:footnoteReference w:id="12"/>
      </w:r>
      <w:r w:rsidRPr="00FA7E5C">
        <w:rPr>
          <w:rFonts w:ascii="Times New Roman" w:eastAsia="Times New Roman" w:hAnsi="Times New Roman" w:cs="Times New Roman"/>
          <w:sz w:val="24"/>
          <w:szCs w:val="24"/>
          <w:bdr w:val="none" w:sz="0" w:space="0" w:color="auto" w:frame="1"/>
          <w:lang w:eastAsia="es-CO"/>
        </w:rPr>
        <w:t>. Y en tercer lugar, es pertinente señalar que la reparación no solo involucra la compensación económica y de las medidas de restablecimiento señaladas, sino aquellas que hagan efectivos los derechos a la verdad y a la justicia</w:t>
      </w:r>
      <w:r w:rsidRPr="00FA7E5C">
        <w:rPr>
          <w:rFonts w:ascii="Times New Roman" w:eastAsia="Times New Roman" w:hAnsi="Times New Roman" w:cs="Times New Roman"/>
          <w:sz w:val="24"/>
          <w:szCs w:val="24"/>
          <w:bdr w:val="none" w:sz="0" w:space="0" w:color="auto" w:frame="1"/>
          <w:vertAlign w:val="superscript"/>
          <w:lang w:eastAsia="es-CO"/>
        </w:rPr>
        <w:footnoteReference w:id="13"/>
      </w:r>
      <w:r w:rsidRPr="00FA7E5C">
        <w:rPr>
          <w:rFonts w:ascii="Times New Roman" w:eastAsia="Times New Roman" w:hAnsi="Times New Roman" w:cs="Times New Roman"/>
          <w:sz w:val="24"/>
          <w:szCs w:val="24"/>
          <w:bdr w:val="none" w:sz="0" w:space="0" w:color="auto" w:frame="1"/>
          <w:lang w:eastAsia="es-CO"/>
        </w:rPr>
        <w:t xml:space="preserve">. Al respecto la jurisprudencia señaló que: </w:t>
      </w:r>
    </w:p>
    <w:p w:rsidR="00117056" w:rsidRPr="00FA7E5C" w:rsidRDefault="00117056" w:rsidP="00117056">
      <w:pPr>
        <w:shd w:val="clear" w:color="auto" w:fill="FFFFFF"/>
        <w:spacing w:after="0" w:line="240" w:lineRule="auto"/>
        <w:ind w:right="-1"/>
        <w:jc w:val="both"/>
        <w:textAlignment w:val="baseline"/>
        <w:rPr>
          <w:rFonts w:ascii="Times New Roman" w:eastAsia="Times New Roman" w:hAnsi="Times New Roman" w:cs="Times New Roman"/>
          <w:sz w:val="24"/>
          <w:szCs w:val="24"/>
          <w:bdr w:val="none" w:sz="0" w:space="0" w:color="auto" w:frame="1"/>
          <w:lang w:eastAsia="es-CO"/>
        </w:rPr>
      </w:pPr>
    </w:p>
    <w:p w:rsidR="00117056" w:rsidRPr="00FA7E5C" w:rsidRDefault="00117056" w:rsidP="00117056">
      <w:pPr>
        <w:shd w:val="clear" w:color="auto" w:fill="FFFFFF"/>
        <w:spacing w:after="0" w:line="240" w:lineRule="auto"/>
        <w:ind w:left="708"/>
        <w:jc w:val="both"/>
        <w:textAlignment w:val="baseline"/>
        <w:rPr>
          <w:rFonts w:ascii="Times New Roman" w:eastAsia="Times New Roman" w:hAnsi="Times New Roman" w:cs="Times New Roman"/>
          <w:sz w:val="24"/>
          <w:szCs w:val="24"/>
          <w:lang w:eastAsia="es-CO"/>
        </w:rPr>
      </w:pPr>
      <w:r w:rsidRPr="00FA7E5C">
        <w:rPr>
          <w:rFonts w:ascii="Times New Roman" w:eastAsia="Times New Roman" w:hAnsi="Times New Roman" w:cs="Times New Roman"/>
          <w:bCs/>
          <w:sz w:val="24"/>
          <w:szCs w:val="24"/>
          <w:bdr w:val="none" w:sz="0" w:space="0" w:color="auto" w:frame="1"/>
          <w:lang w:eastAsia="es-CO"/>
        </w:rPr>
        <w:t>“</w:t>
      </w:r>
      <w:r w:rsidRPr="00FA7E5C">
        <w:rPr>
          <w:rFonts w:ascii="Times New Roman" w:eastAsia="Times New Roman" w:hAnsi="Times New Roman" w:cs="Times New Roman"/>
          <w:sz w:val="24"/>
          <w:szCs w:val="24"/>
          <w:bdr w:val="none" w:sz="0" w:space="0" w:color="auto" w:frame="1"/>
          <w:lang w:eastAsia="es-CO"/>
        </w:rPr>
        <w:t> En cuanto al </w:t>
      </w:r>
      <w:r w:rsidRPr="00FA7E5C">
        <w:rPr>
          <w:rFonts w:ascii="Times New Roman" w:eastAsia="Times New Roman" w:hAnsi="Times New Roman" w:cs="Times New Roman"/>
          <w:i/>
          <w:iCs/>
          <w:sz w:val="24"/>
          <w:szCs w:val="24"/>
          <w:bdr w:val="none" w:sz="0" w:space="0" w:color="auto" w:frame="1"/>
          <w:lang w:eastAsia="es-CO"/>
        </w:rPr>
        <w:t>derecho a la justicia</w:t>
      </w:r>
      <w:r w:rsidRPr="00FA7E5C">
        <w:rPr>
          <w:rFonts w:ascii="Times New Roman" w:eastAsia="Times New Roman" w:hAnsi="Times New Roman" w:cs="Times New Roman"/>
          <w:sz w:val="24"/>
          <w:szCs w:val="24"/>
          <w:bdr w:val="none" w:sz="0" w:space="0" w:color="auto" w:frame="1"/>
          <w:lang w:eastAsia="es-CO"/>
        </w:rPr>
        <w:t>, en sus aspectos del derecho a un recurso judicial efectivo, de acceso a la administración de justicia y de debido proceso, en conexidad con el derecho a la reparación integral, la jurisprudencia de esta Corte ha puesto de relieve que este derecho implica que “</w:t>
      </w:r>
      <w:r w:rsidRPr="00FA7E5C">
        <w:rPr>
          <w:rFonts w:ascii="Times New Roman" w:eastAsia="Times New Roman" w:hAnsi="Times New Roman" w:cs="Times New Roman"/>
          <w:b/>
          <w:bCs/>
          <w:i/>
          <w:iCs/>
          <w:sz w:val="24"/>
          <w:szCs w:val="24"/>
          <w:bdr w:val="none" w:sz="0" w:space="0" w:color="auto" w:frame="1"/>
          <w:lang w:eastAsia="es-CO"/>
        </w:rPr>
        <w:t>todas las victimas puedan hacer valer sus derechos con el beneficio de un recurso justo y eficaz, teniendo como principal objetivo que a su agresor se le juzgue obteniendo así su reparación</w:t>
      </w:r>
      <w:r w:rsidRPr="00FA7E5C">
        <w:rPr>
          <w:rFonts w:ascii="Times New Roman" w:eastAsia="Times New Roman" w:hAnsi="Times New Roman" w:cs="Times New Roman"/>
          <w:sz w:val="24"/>
          <w:szCs w:val="24"/>
          <w:bdr w:val="none" w:sz="0" w:space="0" w:color="auto" w:frame="1"/>
          <w:lang w:eastAsia="es-CO"/>
        </w:rPr>
        <w:t>”</w:t>
      </w:r>
      <w:bookmarkStart w:id="4" w:name="_ftnref52"/>
      <w:r w:rsidR="00343F99" w:rsidRPr="00FA7E5C">
        <w:rPr>
          <w:rFonts w:ascii="Times New Roman" w:eastAsia="Times New Roman" w:hAnsi="Times New Roman" w:cs="Times New Roman"/>
          <w:sz w:val="24"/>
          <w:szCs w:val="24"/>
          <w:bdr w:val="none" w:sz="0" w:space="0" w:color="auto" w:frame="1"/>
          <w:lang w:eastAsia="es-CO"/>
        </w:rPr>
        <w:fldChar w:fldCharType="begin"/>
      </w:r>
      <w:r w:rsidRPr="00FA7E5C">
        <w:rPr>
          <w:rFonts w:ascii="Times New Roman" w:eastAsia="Times New Roman" w:hAnsi="Times New Roman" w:cs="Times New Roman"/>
          <w:sz w:val="24"/>
          <w:szCs w:val="24"/>
          <w:bdr w:val="none" w:sz="0" w:space="0" w:color="auto" w:frame="1"/>
          <w:lang w:eastAsia="es-CO"/>
        </w:rPr>
        <w:instrText xml:space="preserve"> HYPERLINK "http://www.corteconstitucional.gov.co/relatoria/2014/C-286-14.htm" \l "_ftn52" \o "" </w:instrText>
      </w:r>
      <w:r w:rsidR="00343F99" w:rsidRPr="00FA7E5C">
        <w:rPr>
          <w:rFonts w:ascii="Times New Roman" w:eastAsia="Times New Roman" w:hAnsi="Times New Roman" w:cs="Times New Roman"/>
          <w:sz w:val="24"/>
          <w:szCs w:val="24"/>
          <w:bdr w:val="none" w:sz="0" w:space="0" w:color="auto" w:frame="1"/>
          <w:lang w:eastAsia="es-CO"/>
        </w:rPr>
        <w:fldChar w:fldCharType="separate"/>
      </w:r>
      <w:r w:rsidRPr="00FA7E5C">
        <w:rPr>
          <w:rFonts w:ascii="Times New Roman" w:eastAsia="Times New Roman" w:hAnsi="Times New Roman" w:cs="Times New Roman"/>
          <w:sz w:val="24"/>
          <w:szCs w:val="24"/>
          <w:u w:val="single"/>
          <w:bdr w:val="none" w:sz="0" w:space="0" w:color="auto" w:frame="1"/>
          <w:lang w:eastAsia="es-CO"/>
        </w:rPr>
        <w:t>[52]</w:t>
      </w:r>
      <w:r w:rsidR="00343F99" w:rsidRPr="00FA7E5C">
        <w:rPr>
          <w:rFonts w:ascii="Times New Roman" w:eastAsia="Times New Roman" w:hAnsi="Times New Roman" w:cs="Times New Roman"/>
          <w:sz w:val="24"/>
          <w:szCs w:val="24"/>
          <w:bdr w:val="none" w:sz="0" w:space="0" w:color="auto" w:frame="1"/>
          <w:lang w:eastAsia="es-CO"/>
        </w:rPr>
        <w:fldChar w:fldCharType="end"/>
      </w:r>
      <w:bookmarkEnd w:id="4"/>
      <w:r w:rsidRPr="00FA7E5C">
        <w:rPr>
          <w:rFonts w:ascii="Times New Roman" w:eastAsia="Times New Roman" w:hAnsi="Times New Roman" w:cs="Times New Roman"/>
          <w:sz w:val="24"/>
          <w:szCs w:val="24"/>
          <w:bdr w:val="none" w:sz="0" w:space="0" w:color="auto" w:frame="1"/>
          <w:lang w:eastAsia="es-CO"/>
        </w:rPr>
        <w:t>. (Negrillas de la Sala)</w:t>
      </w:r>
      <w:r w:rsidRPr="00FA7E5C">
        <w:rPr>
          <w:rFonts w:ascii="Times New Roman" w:eastAsia="Times New Roman" w:hAnsi="Times New Roman" w:cs="Times New Roman"/>
          <w:sz w:val="24"/>
          <w:szCs w:val="24"/>
          <w:vertAlign w:val="superscript"/>
          <w:lang w:eastAsia="es-CO"/>
        </w:rPr>
        <w:footnoteReference w:id="14"/>
      </w:r>
      <w:r w:rsidRPr="00FA7E5C">
        <w:rPr>
          <w:rFonts w:ascii="Times New Roman" w:eastAsia="Times New Roman" w:hAnsi="Times New Roman" w:cs="Times New Roman"/>
          <w:sz w:val="24"/>
          <w:szCs w:val="24"/>
          <w:lang w:eastAsia="es-CO"/>
        </w:rPr>
        <w:t xml:space="preserve">. </w:t>
      </w:r>
    </w:p>
    <w:p w:rsidR="00117056" w:rsidRPr="00FA7E5C" w:rsidRDefault="00117056" w:rsidP="00117056">
      <w:pPr>
        <w:shd w:val="clear" w:color="auto" w:fill="FFFFFF"/>
        <w:spacing w:after="0" w:line="240" w:lineRule="auto"/>
        <w:ind w:right="-1"/>
        <w:jc w:val="both"/>
        <w:textAlignment w:val="baseline"/>
        <w:rPr>
          <w:rFonts w:ascii="Times New Roman" w:eastAsia="Times New Roman" w:hAnsi="Times New Roman" w:cs="Times New Roman"/>
          <w:sz w:val="24"/>
          <w:szCs w:val="24"/>
          <w:bdr w:val="none" w:sz="0" w:space="0" w:color="auto" w:frame="1"/>
          <w:lang w:eastAsia="es-CO"/>
        </w:rPr>
      </w:pPr>
    </w:p>
    <w:p w:rsidR="00117056" w:rsidRPr="00FA7E5C"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es-CO"/>
        </w:rPr>
      </w:pPr>
      <w:r w:rsidRPr="00FA7E5C">
        <w:rPr>
          <w:rFonts w:ascii="Times New Roman" w:eastAsia="Times New Roman" w:hAnsi="Times New Roman" w:cs="Times New Roman"/>
          <w:sz w:val="24"/>
          <w:szCs w:val="24"/>
          <w:bdr w:val="none" w:sz="0" w:space="0" w:color="auto" w:frame="1"/>
          <w:lang w:eastAsia="es-CO"/>
        </w:rPr>
        <w:t xml:space="preserve">De manera transversal a lo señalado, la reparación integral de las víctimas está sujeta a los principios de integralidad y proporcionalidad. Según el principio de integralidad la victima puede ser sujeto de varias reparaciones sin que estas sean excluyentes, en el entendido que cada una de ellas pretende una protección diferente. Y en virtud del de proporcionalidad, </w:t>
      </w:r>
      <w:r w:rsidRPr="00FA7E5C">
        <w:rPr>
          <w:rFonts w:ascii="Times New Roman" w:hAnsi="Times New Roman" w:cs="Times New Roman"/>
          <w:sz w:val="24"/>
          <w:szCs w:val="24"/>
        </w:rPr>
        <w:t>el resarcimiento debe corresponder a los perjuicios causados a las víctimas siempre con la pretensión de reparar tanto los daños inmateriales como los daños materiales, que incluyen el lucro cesante, el daño emergente y las medidas de rehabilitación</w:t>
      </w:r>
      <w:r w:rsidRPr="00FA7E5C">
        <w:rPr>
          <w:rFonts w:ascii="Times New Roman" w:eastAsia="Times New Roman" w:hAnsi="Times New Roman" w:cs="Times New Roman"/>
          <w:sz w:val="24"/>
          <w:szCs w:val="24"/>
          <w:bdr w:val="none" w:sz="0" w:space="0" w:color="auto" w:frame="1"/>
          <w:vertAlign w:val="superscript"/>
          <w:lang w:eastAsia="es-CO"/>
        </w:rPr>
        <w:footnoteReference w:id="15"/>
      </w:r>
      <w:r w:rsidRPr="00FA7E5C">
        <w:rPr>
          <w:rFonts w:ascii="Times New Roman" w:hAnsi="Times New Roman" w:cs="Times New Roman"/>
          <w:sz w:val="24"/>
          <w:szCs w:val="24"/>
        </w:rPr>
        <w:t xml:space="preserve">. </w:t>
      </w:r>
    </w:p>
    <w:p w:rsidR="00117056" w:rsidRPr="00FA7E5C"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p>
    <w:p w:rsidR="00117056" w:rsidRPr="00FA7E5C"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Ahora bien, la legislación interna en materia de reparación judicial para las </w:t>
      </w:r>
      <w:proofErr w:type="spellStart"/>
      <w:r w:rsidRPr="00FA7E5C">
        <w:rPr>
          <w:rFonts w:ascii="Times New Roman" w:eastAsia="Times New Roman" w:hAnsi="Times New Roman" w:cs="Times New Roman"/>
          <w:sz w:val="24"/>
          <w:szCs w:val="24"/>
          <w:lang w:eastAsia="es-CO"/>
        </w:rPr>
        <w:t>victimas</w:t>
      </w:r>
      <w:proofErr w:type="spellEnd"/>
      <w:r w:rsidRPr="00FA7E5C">
        <w:rPr>
          <w:rFonts w:ascii="Times New Roman" w:eastAsia="Times New Roman" w:hAnsi="Times New Roman" w:cs="Times New Roman"/>
          <w:sz w:val="24"/>
          <w:szCs w:val="24"/>
          <w:lang w:eastAsia="es-CO"/>
        </w:rPr>
        <w:t xml:space="preserve"> de conductas delictivas no cumple con todos los requisitos que la jurisprudencia ha señalado como necesarios para garantizar el derecho a la reparación integral, tal como procede a explicarse. </w:t>
      </w:r>
    </w:p>
    <w:p w:rsidR="00117056" w:rsidRPr="00FA7E5C"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p>
    <w:p w:rsidR="00117056" w:rsidRPr="00FA7E5C" w:rsidRDefault="00117056" w:rsidP="00117056">
      <w:pPr>
        <w:numPr>
          <w:ilvl w:val="0"/>
          <w:numId w:val="18"/>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La normatividad actual del Código de Procedimiento Penal no cumple con los criterios establecidos en el derecho internacional</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 xml:space="preserve">Actualmente la legislación en materia penal establece como único mecanismo de reparación para las víctimas el denominado incidente de reparación integral. Este aparato permite a las víctimas de las conductas penales acceder a una reparación por parte del sujeto activo de la conducta o de los terceros civilmente responsables en un incidente que solo podrá iniciar una vez termine el proceso penal. Las características del incidente de reparación son las siguientes. </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Este incidente es la vía judicial adecuada para que las personas naturales, o sucesoras o jurídicas perjudicadas directamente por la conducta punible soliciten al juez la reparación por los daños causados en virtud de la conducta punible</w:t>
      </w:r>
      <w:r w:rsidRPr="00FA7E5C">
        <w:rPr>
          <w:rFonts w:ascii="Times New Roman" w:hAnsi="Times New Roman" w:cs="Times New Roman"/>
          <w:sz w:val="24"/>
          <w:szCs w:val="24"/>
          <w:vertAlign w:val="superscript"/>
        </w:rPr>
        <w:footnoteReference w:id="16"/>
      </w:r>
      <w:r w:rsidRPr="00FA7E5C">
        <w:rPr>
          <w:rFonts w:ascii="Times New Roman" w:hAnsi="Times New Roman" w:cs="Times New Roman"/>
          <w:sz w:val="24"/>
          <w:szCs w:val="24"/>
        </w:rPr>
        <w:t>. No solo está dirigido a obtener el resarcimiento del daño por la persona condenada, sino aquellos terceros a quienes la ley obliga como garantes o terceros civilmente responsables</w:t>
      </w:r>
      <w:r w:rsidRPr="00FA7E5C">
        <w:rPr>
          <w:rFonts w:ascii="Times New Roman" w:hAnsi="Times New Roman" w:cs="Times New Roman"/>
          <w:sz w:val="24"/>
          <w:szCs w:val="24"/>
          <w:vertAlign w:val="superscript"/>
        </w:rPr>
        <w:footnoteReference w:id="17"/>
      </w:r>
      <w:r w:rsidRPr="00FA7E5C">
        <w:rPr>
          <w:rFonts w:ascii="Times New Roman" w:hAnsi="Times New Roman" w:cs="Times New Roman"/>
          <w:sz w:val="24"/>
          <w:szCs w:val="24"/>
        </w:rPr>
        <w:t xml:space="preserve">. El término de prescripción para </w:t>
      </w:r>
      <w:r w:rsidRPr="00FA7E5C">
        <w:rPr>
          <w:rFonts w:ascii="Times New Roman" w:hAnsi="Times New Roman" w:cs="Times New Roman"/>
          <w:sz w:val="24"/>
          <w:szCs w:val="24"/>
        </w:rPr>
        <w:lastRenderedPageBreak/>
        <w:t>activar este mecanismo respecto del penalmente responsable</w:t>
      </w:r>
      <w:r w:rsidRPr="00FA7E5C">
        <w:rPr>
          <w:rFonts w:ascii="Times New Roman" w:hAnsi="Times New Roman" w:cs="Times New Roman"/>
          <w:sz w:val="24"/>
          <w:szCs w:val="24"/>
          <w:vertAlign w:val="superscript"/>
        </w:rPr>
        <w:footnoteReference w:id="18"/>
      </w:r>
      <w:r w:rsidRPr="00FA7E5C">
        <w:rPr>
          <w:rFonts w:ascii="Times New Roman" w:hAnsi="Times New Roman" w:cs="Times New Roman"/>
          <w:sz w:val="24"/>
          <w:szCs w:val="24"/>
        </w:rPr>
        <w:t xml:space="preserve"> es el mismo contemplado para la conducta punible, mientras que para los demás responsables aplican las reglas civiles</w:t>
      </w:r>
      <w:r w:rsidRPr="00FA7E5C">
        <w:rPr>
          <w:rFonts w:ascii="Times New Roman" w:hAnsi="Times New Roman" w:cs="Times New Roman"/>
          <w:sz w:val="24"/>
          <w:szCs w:val="24"/>
          <w:vertAlign w:val="superscript"/>
        </w:rPr>
        <w:footnoteReference w:id="19"/>
      </w:r>
      <w:r w:rsidRPr="00FA7E5C">
        <w:rPr>
          <w:rFonts w:ascii="Times New Roman" w:hAnsi="Times New Roman" w:cs="Times New Roman"/>
          <w:sz w:val="24"/>
          <w:szCs w:val="24"/>
        </w:rPr>
        <w:t>. Este incidente se extingue por cualquiera de los mecanismos contemplados para la legislación civil</w:t>
      </w:r>
      <w:r w:rsidRPr="00FA7E5C">
        <w:rPr>
          <w:rFonts w:ascii="Times New Roman" w:hAnsi="Times New Roman" w:cs="Times New Roman"/>
          <w:sz w:val="24"/>
          <w:szCs w:val="24"/>
          <w:vertAlign w:val="superscript"/>
        </w:rPr>
        <w:footnoteReference w:id="20"/>
      </w:r>
      <w:r w:rsidRPr="00FA7E5C">
        <w:rPr>
          <w:rFonts w:ascii="Times New Roman" w:hAnsi="Times New Roman" w:cs="Times New Roman"/>
          <w:sz w:val="24"/>
          <w:szCs w:val="24"/>
        </w:rPr>
        <w:t>. Además, establece un tope máximo de mil (1000) salarios mínimos legales mensuales vigentes para daños morales</w:t>
      </w:r>
      <w:r w:rsidRPr="00FA7E5C">
        <w:rPr>
          <w:rFonts w:ascii="Times New Roman" w:hAnsi="Times New Roman" w:cs="Times New Roman"/>
          <w:sz w:val="24"/>
          <w:szCs w:val="24"/>
          <w:vertAlign w:val="superscript"/>
        </w:rPr>
        <w:footnoteReference w:id="21"/>
      </w:r>
      <w:r w:rsidRPr="00FA7E5C">
        <w:rPr>
          <w:rFonts w:ascii="Times New Roman" w:hAnsi="Times New Roman" w:cs="Times New Roman"/>
          <w:sz w:val="24"/>
          <w:szCs w:val="24"/>
        </w:rPr>
        <w:t xml:space="preserve">. </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En materia de procedimental</w:t>
      </w:r>
      <w:r w:rsidRPr="00FA7E5C">
        <w:rPr>
          <w:rFonts w:ascii="Times New Roman" w:hAnsi="Times New Roman" w:cs="Times New Roman"/>
          <w:sz w:val="24"/>
          <w:szCs w:val="24"/>
          <w:vertAlign w:val="superscript"/>
        </w:rPr>
        <w:footnoteReference w:id="22"/>
      </w:r>
      <w:r w:rsidRPr="00FA7E5C">
        <w:rPr>
          <w:rFonts w:ascii="Times New Roman" w:hAnsi="Times New Roman" w:cs="Times New Roman"/>
          <w:sz w:val="24"/>
          <w:szCs w:val="24"/>
        </w:rPr>
        <w:t xml:space="preserve"> es pertinente señalar que este incidente solo inicia cuando la sentencia es condenatoria, esta queda en firme, y la víctima, el Ministerio Público o la Fiscalía General de la Nación presentan la solicitud correspondiente al juez de conocimiento</w:t>
      </w:r>
      <w:r w:rsidRPr="00FA7E5C">
        <w:rPr>
          <w:rFonts w:ascii="Times New Roman" w:hAnsi="Times New Roman" w:cs="Times New Roman"/>
          <w:sz w:val="24"/>
          <w:szCs w:val="24"/>
          <w:vertAlign w:val="superscript"/>
        </w:rPr>
        <w:footnoteReference w:id="23"/>
      </w:r>
      <w:r w:rsidRPr="00FA7E5C">
        <w:rPr>
          <w:rFonts w:ascii="Times New Roman" w:hAnsi="Times New Roman" w:cs="Times New Roman"/>
          <w:sz w:val="24"/>
          <w:szCs w:val="24"/>
        </w:rPr>
        <w:t>. El Código de Procedimiento Penal establece un término de caducidad para iniciar el incidente, esto quiere decir que una vez en firme la sentencia condenatoria la victima debe solicitar el inicio del incidente dentro de los 30 días siguientes</w:t>
      </w:r>
      <w:r w:rsidRPr="00FA7E5C">
        <w:rPr>
          <w:rFonts w:ascii="Times New Roman" w:hAnsi="Times New Roman" w:cs="Times New Roman"/>
          <w:sz w:val="24"/>
          <w:szCs w:val="24"/>
          <w:vertAlign w:val="superscript"/>
        </w:rPr>
        <w:footnoteReference w:id="24"/>
      </w:r>
      <w:r w:rsidRPr="00FA7E5C">
        <w:rPr>
          <w:rFonts w:ascii="Times New Roman" w:hAnsi="Times New Roman" w:cs="Times New Roman"/>
          <w:sz w:val="24"/>
          <w:szCs w:val="24"/>
        </w:rPr>
        <w:t>.</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 xml:space="preserve">De lo expuesto hasta el momento resulta claro que el incidente de reparación integral no es la medida idónea para acceder a la reparación de los daños causados por la comisión de una conducta punible, por varias razones a saber. En primer lugar, porque la víctima no accede a la plena reparación de los daños morales causados por la conducta delictiva. En segundo lugar, porque el incidente de reparación integral solo establece la posibilidad de resarcir el daño por la vía pecuniaria. Esto significa que la norma solo permite adoptar medidas compensatorias que dejan de lado la aplicación de medidas de justicia restaurativa como las de rehabilitación o </w:t>
      </w:r>
      <w:proofErr w:type="spellStart"/>
      <w:r w:rsidRPr="00FA7E5C">
        <w:rPr>
          <w:rFonts w:ascii="Times New Roman" w:hAnsi="Times New Roman" w:cs="Times New Roman"/>
          <w:sz w:val="24"/>
          <w:szCs w:val="24"/>
        </w:rPr>
        <w:t>readapatación</w:t>
      </w:r>
      <w:proofErr w:type="spellEnd"/>
      <w:r w:rsidRPr="00FA7E5C">
        <w:rPr>
          <w:rFonts w:ascii="Times New Roman" w:hAnsi="Times New Roman" w:cs="Times New Roman"/>
          <w:sz w:val="24"/>
          <w:szCs w:val="24"/>
        </w:rPr>
        <w:t xml:space="preserve"> y los demás instrumentos de reparación simbólica que pueden restablecer los derechos de las víctimas. </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 xml:space="preserve">En tercer lugar, la normatividad contempla un término de caducidad muy corto que al ser un plazo perentorio resulta restrictivo de los derechos de las víctimas a contar con un recurso judicial y efectivo para resolver sus reclamaciones. En cuarto lugar, es un incidente que no tiene regulación precisa sobre los términos y ritualidades procesales a las que deben sujetarse, lo que ha conllevado a procedimientos muy extensos en detrimento de la correcta administración de justicia. En quinto lugar, es un mecanismo que solo puede activarse por disposición legal expresa cuando está en firme la sentencia condenatoria, situación que desconoce el derecho a la reparación integral en otros escenarios incluida la aplicación de </w:t>
      </w:r>
      <w:r w:rsidRPr="00FA7E5C">
        <w:rPr>
          <w:rFonts w:ascii="Times New Roman" w:hAnsi="Times New Roman" w:cs="Times New Roman"/>
          <w:sz w:val="24"/>
          <w:szCs w:val="24"/>
        </w:rPr>
        <w:lastRenderedPageBreak/>
        <w:t>algunos mecanismos de terminación anticipada del proceso en los que existe reconocimiento de la comisión del delito. Y finalmente, el incidente de reparación carece de idoneidad porque la ausencia de personal suficiente o altamente capacitado para atender los reclamos indemnizatorios de los perjudicados con las conductas punibles en la jurisdicción penal ha conllevado al absoluto fracaso del mecanismo judicial indemnizatorio.</w:t>
      </w:r>
    </w:p>
    <w:p w:rsidR="00117056" w:rsidRPr="00FA7E5C" w:rsidRDefault="00117056" w:rsidP="00117056">
      <w:pPr>
        <w:spacing w:after="0" w:line="240" w:lineRule="auto"/>
        <w:ind w:left="708" w:hanging="708"/>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numPr>
          <w:ilvl w:val="0"/>
          <w:numId w:val="18"/>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El proyecto de ley no solo ajusta el ordenamiento jurídico interno a los estándares internacionales, sino que propone mejores mecanismos de reparación de las víctimas</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En materia de reparación, este proyecto de ley propone ajustar las vías judiciales para lograr una verdadera compensación de los daños causados a las víctimas en virtud de la comisión del delito, de frente a los seis (6) aspectos puntuales señalados en el literal anterior. La primera modificación propuesta consiste en (i) incluir la figura procesal denominada indemnización integral como medida de satisfacción plena de los derechos de las víctimas capaz de extinguir la acción penal. La segunda, (</w:t>
      </w:r>
      <w:proofErr w:type="spellStart"/>
      <w:r w:rsidRPr="00FA7E5C">
        <w:rPr>
          <w:rFonts w:ascii="Times New Roman" w:hAnsi="Times New Roman" w:cs="Times New Roman"/>
          <w:sz w:val="24"/>
          <w:szCs w:val="24"/>
        </w:rPr>
        <w:t>ii</w:t>
      </w:r>
      <w:proofErr w:type="spellEnd"/>
      <w:r w:rsidRPr="00FA7E5C">
        <w:rPr>
          <w:rFonts w:ascii="Times New Roman" w:hAnsi="Times New Roman" w:cs="Times New Roman"/>
          <w:sz w:val="24"/>
          <w:szCs w:val="24"/>
        </w:rPr>
        <w:t>) introduce las medidas de reparación simbólica como mecanismos propicios para lograr la reparación integral de las víctimas. Y la tercera, (</w:t>
      </w:r>
      <w:proofErr w:type="spellStart"/>
      <w:r w:rsidRPr="00FA7E5C">
        <w:rPr>
          <w:rFonts w:ascii="Times New Roman" w:hAnsi="Times New Roman" w:cs="Times New Roman"/>
          <w:sz w:val="24"/>
          <w:szCs w:val="24"/>
        </w:rPr>
        <w:t>iii</w:t>
      </w:r>
      <w:proofErr w:type="spellEnd"/>
      <w:r w:rsidRPr="00FA7E5C">
        <w:rPr>
          <w:rFonts w:ascii="Times New Roman" w:hAnsi="Times New Roman" w:cs="Times New Roman"/>
          <w:sz w:val="24"/>
          <w:szCs w:val="24"/>
        </w:rPr>
        <w:t xml:space="preserve">) traslada la posibilidad de acceder a una indemnización patrimonial por los daños causados a la jurisdicción civil como autoridad especializada en la materia. Veamos.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numPr>
          <w:ilvl w:val="0"/>
          <w:numId w:val="19"/>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 La indemnización integral como mecanismo de terminación anticipada del proceso</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eastAsia="Times New Roman" w:hAnsi="Times New Roman" w:cs="Times New Roman"/>
          <w:sz w:val="24"/>
          <w:szCs w:val="24"/>
        </w:rPr>
      </w:pPr>
      <w:r w:rsidRPr="00FA7E5C">
        <w:rPr>
          <w:rFonts w:ascii="Times New Roman" w:hAnsi="Times New Roman" w:cs="Times New Roman"/>
          <w:sz w:val="24"/>
          <w:szCs w:val="24"/>
        </w:rPr>
        <w:t xml:space="preserve">El proyecto de ley propone la inclusión de un nuevo artículo al Código de Procedimiento Penal que pretende incluir la figura de la indemnización integral contemplada en la Ley 600 de 2000. Esta propuesta pretende extinguir la acción penal cuando el penalmente responsable repare integralmente el daño causado en los delitos </w:t>
      </w:r>
      <w:r w:rsidRPr="00FA7E5C">
        <w:rPr>
          <w:rFonts w:ascii="Times New Roman" w:eastAsia="Times New Roman" w:hAnsi="Times New Roman" w:cs="Times New Roman"/>
          <w:sz w:val="24"/>
          <w:szCs w:val="24"/>
        </w:rPr>
        <w:t xml:space="preserve">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w:t>
      </w:r>
    </w:p>
    <w:p w:rsidR="00117056" w:rsidRPr="00FA7E5C" w:rsidRDefault="00117056" w:rsidP="00117056">
      <w:pPr>
        <w:spacing w:after="0" w:line="240" w:lineRule="auto"/>
        <w:jc w:val="both"/>
        <w:rPr>
          <w:rFonts w:ascii="Times New Roman" w:eastAsia="Times New Roman" w:hAnsi="Times New Roman" w:cs="Times New Roman"/>
          <w:sz w:val="24"/>
          <w:szCs w:val="24"/>
        </w:rPr>
      </w:pPr>
    </w:p>
    <w:p w:rsidR="00117056" w:rsidRPr="00FA7E5C" w:rsidRDefault="00117056" w:rsidP="00117056">
      <w:pPr>
        <w:spacing w:after="0" w:line="240" w:lineRule="auto"/>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rPr>
        <w:t xml:space="preserve">Esta figura procesal permite que en los delitos que resulten de especial relevancia para la víctima, pero no revistan de vital importancia para la sociedad, las personas afectadas por la comisión del delito accedan a una reparación integral que incluya todas las medidas de justicia restaurativa, compensatorias y simbólicas a las que haya lugar para extinguir la acción penal. Esto maximiza el derecho de las víctimas de acceder a un recurso judicial justo y efectivo para la reparación de sus perjuicios, que no involucre un desgaste innecesario en la administración de justicia.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Además permite la participación de la víctima en la determinación de los mecanismos de reparación o el apoyo de un perito experto que pueda determinar la forma proporcional en la que debe ser restaurado el daño, sin tener un tope que limite la acción de las autoridades judiciales en la reparación más allá de la sana crítica.</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numPr>
          <w:ilvl w:val="0"/>
          <w:numId w:val="19"/>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Mecanismos de reparación simbólica como garantías de verdad y no repetición para las víctimas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Otro de los dispositivos que introduce el proyecto de ley para efectivizar el derecho a la reparación integral es la reparación simbólica. La modificación del artículo 103 del Código de Procedimiento Penal habilita al juez de conocimiento para imponer medidas de reparación simbólica, después de haber dictado el sentido del fallo sin importar si este es o no condenatorio. Las condiciones de ejecución de las medidas harán parte integral de la decisión del juez.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Tal como se expuso con anterioridad, las medidas de reparación para las victimas abarcan no solo la dimensión compensatoria pecuniaria sino todas aquellas de carácter simbólico que puedan conllevar a satisfacer plenamente los derechos de las víctimas. Si bien es cierto la sentencia que atribuye responsabilidad penal es una medida de reparación simbólica, también lo es que no resulta idónea para proteger todos los derechos vulnerados. Por ello, crear la posibilidad judicial de ordenar medidas de satisfacción al momento de dictar el sentido del fallo ofrece mejores garantías de reparación integral.</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Ahora bien, lograr que la victima vuelva al estado de cosas anterior a la comisión del delito es una tarea que en la mayoría de los casos es imposible. Borrar los efectos del daño antijurídico causado no es asunto fácil, motivo por el cual es necesario establecer medidas simbólicas de reparación que contribuyan a establecer la verdad sobre los hechos ocurridos y dignificar a la víctima</w:t>
      </w:r>
      <w:r w:rsidRPr="00FA7E5C">
        <w:rPr>
          <w:rFonts w:ascii="Times New Roman" w:hAnsi="Times New Roman" w:cs="Times New Roman"/>
          <w:sz w:val="24"/>
          <w:szCs w:val="24"/>
          <w:vertAlign w:val="superscript"/>
        </w:rPr>
        <w:footnoteReference w:id="25"/>
      </w:r>
      <w:r w:rsidRPr="00FA7E5C">
        <w:rPr>
          <w:rFonts w:ascii="Times New Roman" w:hAnsi="Times New Roman" w:cs="Times New Roman"/>
          <w:sz w:val="24"/>
          <w:szCs w:val="24"/>
        </w:rPr>
        <w:t xml:space="preserve">.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Esta disposición debe entenderse en como complementaria de lo dispuesto por el artículo 22 de la Ley 906 de 2004 en virtud del cual los jueces y los fiscales de conocimiento pueden adoptar las medidas que consideren necesarios para restablecer los derechos de las víctimas, sin importar la responsabilidad penal del investigado. La Corte Constitucional señaló que esta disposición es equivalente al artículo 21 de la Ley 600 de 2000, respecto del cual advirtió que estas medidas hacen parte de la justicia reparadora y corresponden a todas aquellas contempladas tanto en la legislación penal como en las normas de las demás especialidades normativas. De manera tal que la adopción de disposiciones para restablecer los derechos de las víctimas,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hd w:val="clear" w:color="auto" w:fill="FFFFFF"/>
        <w:spacing w:after="0" w:line="240" w:lineRule="auto"/>
        <w:ind w:left="708" w:right="150"/>
        <w:jc w:val="both"/>
        <w:textAlignment w:val="baseline"/>
        <w:rPr>
          <w:rFonts w:ascii="Times New Roman" w:hAnsi="Times New Roman" w:cs="Times New Roman"/>
          <w:sz w:val="24"/>
          <w:szCs w:val="24"/>
        </w:rPr>
      </w:pPr>
      <w:r w:rsidRPr="00FA7E5C">
        <w:rPr>
          <w:rFonts w:ascii="Times New Roman" w:eastAsia="Times New Roman" w:hAnsi="Times New Roman" w:cs="Times New Roman"/>
          <w:sz w:val="24"/>
          <w:szCs w:val="24"/>
          <w:bdr w:val="none" w:sz="0" w:space="0" w:color="auto" w:frame="1"/>
          <w:lang w:eastAsia="es-CO"/>
        </w:rPr>
        <w:t>“(i) es un principio rector; (</w:t>
      </w:r>
      <w:proofErr w:type="spellStart"/>
      <w:r w:rsidRPr="00FA7E5C">
        <w:rPr>
          <w:rFonts w:ascii="Times New Roman" w:eastAsia="Times New Roman" w:hAnsi="Times New Roman" w:cs="Times New Roman"/>
          <w:sz w:val="24"/>
          <w:szCs w:val="24"/>
          <w:bdr w:val="none" w:sz="0" w:space="0" w:color="auto" w:frame="1"/>
          <w:lang w:eastAsia="es-CO"/>
        </w:rPr>
        <w:t>ii</w:t>
      </w:r>
      <w:proofErr w:type="spellEnd"/>
      <w:r w:rsidRPr="00FA7E5C">
        <w:rPr>
          <w:rFonts w:ascii="Times New Roman" w:eastAsia="Times New Roman" w:hAnsi="Times New Roman" w:cs="Times New Roman"/>
          <w:sz w:val="24"/>
          <w:szCs w:val="24"/>
          <w:bdr w:val="none" w:sz="0" w:space="0" w:color="auto" w:frame="1"/>
          <w:lang w:eastAsia="es-CO"/>
        </w:rPr>
        <w:t>) es intemporal dentro del proceso penal; (</w:t>
      </w:r>
      <w:proofErr w:type="spellStart"/>
      <w:r w:rsidRPr="00FA7E5C">
        <w:rPr>
          <w:rFonts w:ascii="Times New Roman" w:eastAsia="Times New Roman" w:hAnsi="Times New Roman" w:cs="Times New Roman"/>
          <w:sz w:val="24"/>
          <w:szCs w:val="24"/>
          <w:bdr w:val="none" w:sz="0" w:space="0" w:color="auto" w:frame="1"/>
          <w:lang w:eastAsia="es-CO"/>
        </w:rPr>
        <w:t>iii</w:t>
      </w:r>
      <w:proofErr w:type="spellEnd"/>
      <w:r w:rsidRPr="00FA7E5C">
        <w:rPr>
          <w:rFonts w:ascii="Times New Roman" w:eastAsia="Times New Roman" w:hAnsi="Times New Roman" w:cs="Times New Roman"/>
          <w:sz w:val="24"/>
          <w:szCs w:val="24"/>
          <w:bdr w:val="none" w:sz="0" w:space="0" w:color="auto" w:frame="1"/>
          <w:lang w:eastAsia="es-CO"/>
        </w:rPr>
        <w:t>) no está supeditado a la declaratoria de responsabilidad penal; (</w:t>
      </w:r>
      <w:proofErr w:type="spellStart"/>
      <w:r w:rsidRPr="00FA7E5C">
        <w:rPr>
          <w:rFonts w:ascii="Times New Roman" w:eastAsia="Times New Roman" w:hAnsi="Times New Roman" w:cs="Times New Roman"/>
          <w:sz w:val="24"/>
          <w:szCs w:val="24"/>
          <w:bdr w:val="none" w:sz="0" w:space="0" w:color="auto" w:frame="1"/>
          <w:lang w:eastAsia="es-CO"/>
        </w:rPr>
        <w:t>iv</w:t>
      </w:r>
      <w:proofErr w:type="spellEnd"/>
      <w:r w:rsidRPr="00FA7E5C">
        <w:rPr>
          <w:rFonts w:ascii="Times New Roman" w:eastAsia="Times New Roman" w:hAnsi="Times New Roman" w:cs="Times New Roman"/>
          <w:sz w:val="24"/>
          <w:szCs w:val="24"/>
          <w:bdr w:val="none" w:sz="0" w:space="0" w:color="auto" w:frame="1"/>
          <w:lang w:eastAsia="es-CO"/>
        </w:rPr>
        <w:t>) no necesariamente se debe reconocer en la sentencia, pues procede en cualquier momento de la actuación </w:t>
      </w:r>
      <w:r w:rsidRPr="00FA7E5C">
        <w:rPr>
          <w:rFonts w:ascii="Times New Roman" w:eastAsia="Times New Roman" w:hAnsi="Times New Roman" w:cs="Times New Roman"/>
          <w:b/>
          <w:bCs/>
          <w:sz w:val="24"/>
          <w:szCs w:val="24"/>
          <w:bdr w:val="none" w:sz="0" w:space="0" w:color="auto" w:frame="1"/>
          <w:lang w:eastAsia="es-CO"/>
        </w:rPr>
        <w:t>en que aparezca acreditada la materialidad de la conducta o el tipo objetivo</w:t>
      </w:r>
      <w:r w:rsidRPr="00FA7E5C">
        <w:rPr>
          <w:rFonts w:ascii="Times New Roman" w:eastAsia="Times New Roman" w:hAnsi="Times New Roman" w:cs="Times New Roman"/>
          <w:sz w:val="24"/>
          <w:szCs w:val="24"/>
          <w:bdr w:val="none" w:sz="0" w:space="0" w:color="auto" w:frame="1"/>
          <w:lang w:eastAsia="es-CO"/>
        </w:rPr>
        <w:t xml:space="preserve">, y (v) pueden dar lugar tanto al restablecimiento pleno, como al de carácter provisional, éste último en el evento en que se demande la adopción de </w:t>
      </w:r>
      <w:r w:rsidRPr="00FA7E5C">
        <w:rPr>
          <w:rFonts w:ascii="Times New Roman" w:eastAsia="Times New Roman" w:hAnsi="Times New Roman" w:cs="Times New Roman"/>
          <w:sz w:val="24"/>
          <w:szCs w:val="24"/>
          <w:bdr w:val="none" w:sz="0" w:space="0" w:color="auto" w:frame="1"/>
          <w:lang w:eastAsia="es-CO"/>
        </w:rPr>
        <w:lastRenderedPageBreak/>
        <w:t>medidas inmediatas que no se pueden posponer hasta el momento en que se profiera alguna determinación con carácter definitivo en el proceso”</w:t>
      </w:r>
      <w:r w:rsidRPr="00FA7E5C">
        <w:rPr>
          <w:rFonts w:ascii="Times New Roman" w:eastAsia="Times New Roman" w:hAnsi="Times New Roman" w:cs="Times New Roman"/>
          <w:sz w:val="24"/>
          <w:szCs w:val="24"/>
          <w:vertAlign w:val="superscript"/>
          <w:lang w:eastAsia="es-CO"/>
        </w:rPr>
        <w:footnoteReference w:id="26"/>
      </w:r>
      <w:r w:rsidRPr="00FA7E5C">
        <w:rPr>
          <w:rFonts w:ascii="Times New Roman" w:eastAsia="Times New Roman" w:hAnsi="Times New Roman" w:cs="Times New Roman"/>
          <w:sz w:val="24"/>
          <w:szCs w:val="24"/>
          <w:lang w:eastAsia="es-CO"/>
        </w:rPr>
        <w:t>.</w:t>
      </w:r>
    </w:p>
    <w:p w:rsidR="00117056" w:rsidRPr="00FA7E5C" w:rsidRDefault="00117056" w:rsidP="00117056">
      <w:pPr>
        <w:spacing w:after="0" w:line="240" w:lineRule="auto"/>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rPr>
        <w:t xml:space="preserve">En consecuencia, la inclusión de la reparación simbólica como facultad del juez de conocimiento, entendida como un complemento a lo dispuesto por el Artículo 22 de la Ley 906 de 2004, representa un avance significativo en materia de protección de la garantía de reparación integral de las víctimas.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numPr>
          <w:ilvl w:val="0"/>
          <w:numId w:val="19"/>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La acción de responsabilidad civil extracontractual como mecanismo idóneo de reparación para las víctimas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De conformidad con lo expuesto hasta el momento, el incidente de reparación integral es la única forma para que las víctimas de los delitos puedan obtener un resarcimiento por los perjuicios causados. Este mecanismo no es un recurso judicial efectivo que permita a las victimas hacer valer sus derechos de manera justa y eficaz</w:t>
      </w:r>
      <w:r w:rsidRPr="00FA7E5C">
        <w:rPr>
          <w:rFonts w:ascii="Times New Roman" w:hAnsi="Times New Roman" w:cs="Times New Roman"/>
          <w:sz w:val="24"/>
          <w:szCs w:val="24"/>
          <w:vertAlign w:val="superscript"/>
        </w:rPr>
        <w:footnoteReference w:id="27"/>
      </w:r>
      <w:r w:rsidRPr="00FA7E5C">
        <w:rPr>
          <w:rFonts w:ascii="Times New Roman" w:hAnsi="Times New Roman" w:cs="Times New Roman"/>
          <w:sz w:val="24"/>
          <w:szCs w:val="24"/>
        </w:rPr>
        <w:t xml:space="preserve">. </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 xml:space="preserve">Tal como fue advertido con anterioridad solo procede en los eventos de sentencias condenatorias, consagra un término de caducidad reducido, solo permite la reparación pecuniaria compensatoria, no tiene una ritualidad específica que permita evacuar el caso en un término razonable, ni cuenta con el personal idóneo para determinar las medidas de reparación. En consecuencia, el proyecto de ley propone establecer como mecanismo judicial para acceder a la reparación de los daños causados por el delito la acción civil extracontractual. Es decir, eliminar el denominado incidente de reparación integral. Trasladar las pretensiones indemnizatorias de las víctimas a la jurisdicción civil es la mejor forma de garantizar la satisfacción del derecho a la reparación integral. Veamos. </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numPr>
          <w:ilvl w:val="0"/>
          <w:numId w:val="20"/>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Podrán acceder a la reparación independientemente del resultado del proceso penal</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after="0" w:line="240" w:lineRule="auto"/>
        <w:ind w:firstLine="1"/>
        <w:jc w:val="both"/>
        <w:rPr>
          <w:rFonts w:ascii="Times New Roman" w:hAnsi="Times New Roman" w:cs="Times New Roman"/>
          <w:sz w:val="24"/>
          <w:szCs w:val="24"/>
        </w:rPr>
      </w:pPr>
      <w:r w:rsidRPr="00FA7E5C">
        <w:rPr>
          <w:rFonts w:ascii="Times New Roman" w:hAnsi="Times New Roman" w:cs="Times New Roman"/>
          <w:sz w:val="24"/>
          <w:szCs w:val="24"/>
        </w:rPr>
        <w:t xml:space="preserve">La eliminación del incidente de reparación amplia la posibilidad de las víctimas de acceder a la reparación, en tanto, no será requisito procesal la terminación del proceso penal, y mucho menos que el sentido del fallo sea condenatorio. De conformidad con la modificación propuesta al artículo 102 las víctimas del injusto penal podrán acudir a los jueces civiles, paralelamente o una vez terminado el proceso penal. Esto implica que la víctima tiene el derecho de acceder a la reparación que le corresponde sin importar si la responsabilidad penal del investigado es demostrada en juicio. Es decir, las victimas pueden acudir a la reparación civil correspondiente independientemente de la forma en que haya culminado el proceso penal, sea con decisión judicial sobre la responsabilidad del acusado, por preclusión, por aplicación de principio de oportunidad, indemnización integral, conciliación o cualquier otro mecanismo de terminación anticipada del proceso. </w:t>
      </w:r>
    </w:p>
    <w:p w:rsidR="00117056" w:rsidRPr="00FA7E5C" w:rsidRDefault="00117056" w:rsidP="00117056">
      <w:pPr>
        <w:spacing w:after="0" w:line="240" w:lineRule="auto"/>
        <w:ind w:firstLine="1"/>
        <w:jc w:val="both"/>
        <w:rPr>
          <w:rFonts w:ascii="Times New Roman" w:hAnsi="Times New Roman" w:cs="Times New Roman"/>
          <w:sz w:val="24"/>
          <w:szCs w:val="24"/>
        </w:rPr>
      </w:pPr>
    </w:p>
    <w:p w:rsidR="00117056" w:rsidRPr="00FA7E5C" w:rsidRDefault="00117056" w:rsidP="00117056">
      <w:pPr>
        <w:spacing w:line="240" w:lineRule="auto"/>
        <w:jc w:val="both"/>
        <w:rPr>
          <w:rFonts w:ascii="Times New Roman" w:eastAsia="MS Minngs" w:hAnsi="Times New Roman" w:cs="Times New Roman"/>
          <w:sz w:val="24"/>
          <w:szCs w:val="24"/>
          <w:lang w:eastAsia="es-CO"/>
        </w:rPr>
      </w:pPr>
      <w:r w:rsidRPr="00FA7E5C">
        <w:rPr>
          <w:rFonts w:ascii="Times New Roman" w:eastAsia="MS Minngs" w:hAnsi="Times New Roman" w:cs="Times New Roman"/>
          <w:sz w:val="24"/>
          <w:szCs w:val="24"/>
          <w:lang w:eastAsia="es-CO"/>
        </w:rPr>
        <w:t xml:space="preserve">Adicionalmente, el artículo 102 de la propuesta que ahora se presenta garantizaría de mejor manera el derecho a tener mecanismos de acceso ágil, oportuno, pronto y eficaz a la administración de justicia para la protección judicial efectiva de los derechos de las </w:t>
      </w:r>
      <w:r w:rsidRPr="00FA7E5C">
        <w:rPr>
          <w:rFonts w:ascii="Times New Roman" w:eastAsia="MS Minngs" w:hAnsi="Times New Roman" w:cs="Times New Roman"/>
          <w:sz w:val="24"/>
          <w:szCs w:val="24"/>
          <w:lang w:eastAsia="es-CO"/>
        </w:rPr>
        <w:lastRenderedPageBreak/>
        <w:t>víctimas de delitos</w:t>
      </w:r>
      <w:r w:rsidRPr="00FA7E5C">
        <w:rPr>
          <w:rFonts w:ascii="Times New Roman" w:eastAsia="MS Minngs" w:hAnsi="Times New Roman" w:cs="Times New Roman"/>
          <w:sz w:val="24"/>
          <w:szCs w:val="24"/>
          <w:vertAlign w:val="superscript"/>
          <w:lang w:eastAsia="es-CO"/>
        </w:rPr>
        <w:footnoteReference w:id="28"/>
      </w:r>
      <w:r w:rsidRPr="00FA7E5C">
        <w:rPr>
          <w:rFonts w:ascii="Times New Roman" w:eastAsia="MS Minngs" w:hAnsi="Times New Roman" w:cs="Times New Roman"/>
          <w:sz w:val="24"/>
          <w:szCs w:val="24"/>
          <w:lang w:eastAsia="es-CO"/>
        </w:rPr>
        <w:t>. Esto es posible porque el artículo establece la posibilidad, inexistente hasta el momento, de que paralelamente a la actuación penal se inicie el procedimiento para obtener la reparación integral de los daños causados.</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numPr>
          <w:ilvl w:val="0"/>
          <w:numId w:val="20"/>
        </w:numPr>
        <w:spacing w:after="0" w:line="240" w:lineRule="auto"/>
        <w:jc w:val="both"/>
        <w:rPr>
          <w:rFonts w:ascii="Times New Roman" w:hAnsi="Times New Roman" w:cs="Times New Roman"/>
          <w:b/>
          <w:sz w:val="24"/>
          <w:szCs w:val="24"/>
          <w:lang w:eastAsia="es-CO"/>
        </w:rPr>
      </w:pPr>
      <w:r w:rsidRPr="00FA7E5C">
        <w:rPr>
          <w:rFonts w:ascii="Times New Roman" w:hAnsi="Times New Roman" w:cs="Times New Roman"/>
          <w:b/>
          <w:sz w:val="24"/>
          <w:szCs w:val="24"/>
          <w:lang w:eastAsia="es-CO"/>
        </w:rPr>
        <w:t>Permite la plena reparación de los perjuicios materiales e inmateriales de las víctimas</w:t>
      </w:r>
    </w:p>
    <w:p w:rsidR="00117056" w:rsidRPr="00FA7E5C" w:rsidRDefault="00117056" w:rsidP="00117056">
      <w:pPr>
        <w:spacing w:after="0" w:line="240" w:lineRule="auto"/>
        <w:ind w:left="720"/>
        <w:jc w:val="both"/>
        <w:rPr>
          <w:rFonts w:ascii="Times New Roman" w:hAnsi="Times New Roman" w:cs="Times New Roman"/>
          <w:b/>
          <w:sz w:val="24"/>
          <w:szCs w:val="24"/>
          <w:lang w:eastAsia="es-CO"/>
        </w:rPr>
      </w:pPr>
    </w:p>
    <w:p w:rsidR="00117056" w:rsidRPr="00FA7E5C" w:rsidRDefault="00117056" w:rsidP="00117056">
      <w:pPr>
        <w:spacing w:after="0" w:line="240" w:lineRule="aut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 xml:space="preserve">El artículo 97 de la Ley 599 de 2000 en materia de reparación por la comisión de las conductas punibles establece que: “[e]n relación con el daño derivado de la conducta punible el juez podrá señalar como indemnización, una suma equivalente, en moneda nacional, hasta mil (1000) salarios mínimos legales mensuales”, es decir se impone un límite a la indemnización económica a favor de la víctima del injusto. La Corte Constitucional en la Sentencia C-916 de 2002 declaró la </w:t>
      </w:r>
      <w:proofErr w:type="spellStart"/>
      <w:r w:rsidRPr="00FA7E5C">
        <w:rPr>
          <w:rFonts w:ascii="Times New Roman" w:hAnsi="Times New Roman" w:cs="Times New Roman"/>
          <w:sz w:val="24"/>
          <w:szCs w:val="24"/>
          <w:lang w:eastAsia="es-CO"/>
        </w:rPr>
        <w:t>exequibilidad</w:t>
      </w:r>
      <w:proofErr w:type="spellEnd"/>
      <w:r w:rsidRPr="00FA7E5C">
        <w:rPr>
          <w:rFonts w:ascii="Times New Roman" w:hAnsi="Times New Roman" w:cs="Times New Roman"/>
          <w:sz w:val="24"/>
          <w:szCs w:val="24"/>
          <w:lang w:eastAsia="es-CO"/>
        </w:rPr>
        <w:t xml:space="preserve"> condicionada de dicha norma “[e]n el entendido de que el límite de mil salarios mínimos legales mensuales se aplica exclusivamente a la parte de la indemnización de daños morales cuyo valor pecuniario no fue objetivamente determinado en el proceso penal”. En otras palabras, con este pronunciamiento se estableció que respecto del daño moral sufrido por la víctima, el juez tiene un límite indemnizatorio máximo asciende a mil salarios mínimos mensuales vigentes.</w:t>
      </w:r>
    </w:p>
    <w:p w:rsidR="00117056" w:rsidRPr="00FA7E5C" w:rsidRDefault="00117056" w:rsidP="00117056">
      <w:pPr>
        <w:spacing w:after="0" w:line="240" w:lineRule="auto"/>
        <w:jc w:val="both"/>
        <w:rPr>
          <w:rFonts w:ascii="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hAnsi="Times New Roman" w:cs="Times New Roman"/>
          <w:sz w:val="24"/>
          <w:szCs w:val="24"/>
          <w:vertAlign w:val="superscript"/>
          <w:lang w:val="es-ES" w:eastAsia="es-CO"/>
        </w:rPr>
      </w:pPr>
      <w:r w:rsidRPr="00FA7E5C">
        <w:rPr>
          <w:rFonts w:ascii="Times New Roman" w:hAnsi="Times New Roman" w:cs="Times New Roman"/>
          <w:sz w:val="24"/>
          <w:szCs w:val="24"/>
          <w:lang w:eastAsia="es-CO"/>
        </w:rPr>
        <w:t xml:space="preserve">Lo anterior riñe con los estándares de reparación establecidos en el ordenamiento internacional. Tanto </w:t>
      </w:r>
      <w:r w:rsidRPr="00FA7E5C">
        <w:rPr>
          <w:rFonts w:ascii="Times New Roman" w:hAnsi="Times New Roman" w:cs="Times New Roman"/>
          <w:sz w:val="24"/>
          <w:szCs w:val="24"/>
          <w:lang w:val="es-ES" w:eastAsia="es-CO"/>
        </w:rPr>
        <w:t>la Declaración Americana de Derechos del Hombre</w:t>
      </w:r>
      <w:r w:rsidRPr="00FA7E5C">
        <w:rPr>
          <w:rFonts w:ascii="Times New Roman" w:hAnsi="Times New Roman" w:cs="Times New Roman"/>
          <w:sz w:val="24"/>
          <w:szCs w:val="24"/>
          <w:vertAlign w:val="superscript"/>
          <w:lang w:val="es-ES" w:eastAsia="es-CO"/>
        </w:rPr>
        <w:footnoteReference w:id="29"/>
      </w:r>
      <w:r w:rsidRPr="00FA7E5C">
        <w:rPr>
          <w:rFonts w:ascii="Times New Roman" w:hAnsi="Times New Roman" w:cs="Times New Roman"/>
          <w:sz w:val="24"/>
          <w:szCs w:val="24"/>
          <w:lang w:val="es-ES" w:eastAsia="es-CO"/>
        </w:rPr>
        <w:t xml:space="preserve"> como la Declaración Universal de Derechos Humanos</w:t>
      </w:r>
      <w:r w:rsidRPr="00FA7E5C">
        <w:rPr>
          <w:rFonts w:ascii="Times New Roman" w:hAnsi="Times New Roman" w:cs="Times New Roman"/>
          <w:sz w:val="24"/>
          <w:szCs w:val="24"/>
          <w:vertAlign w:val="superscript"/>
          <w:lang w:val="es-ES" w:eastAsia="es-CO"/>
        </w:rPr>
        <w:footnoteReference w:id="30"/>
      </w:r>
      <w:r w:rsidRPr="00FA7E5C">
        <w:rPr>
          <w:rFonts w:ascii="Times New Roman" w:hAnsi="Times New Roman" w:cs="Times New Roman"/>
          <w:sz w:val="24"/>
          <w:szCs w:val="24"/>
          <w:lang w:val="es-ES" w:eastAsia="es-CO"/>
        </w:rPr>
        <w:t xml:space="preserve"> garantizan el derecho de todas las personas a una tutela judicial efectiva de sus derechos lo cual comprende una indemnización justa y adecuada de los daños morales y materiales</w:t>
      </w:r>
      <w:r w:rsidRPr="00FA7E5C">
        <w:rPr>
          <w:rFonts w:ascii="Times New Roman" w:hAnsi="Times New Roman" w:cs="Times New Roman"/>
          <w:sz w:val="24"/>
          <w:szCs w:val="24"/>
          <w:vertAlign w:val="superscript"/>
          <w:lang w:val="es-ES" w:eastAsia="es-CO"/>
        </w:rPr>
        <w:footnoteReference w:id="31"/>
      </w:r>
      <w:r w:rsidRPr="00FA7E5C">
        <w:rPr>
          <w:rFonts w:ascii="Times New Roman" w:hAnsi="Times New Roman" w:cs="Times New Roman"/>
          <w:sz w:val="24"/>
          <w:szCs w:val="24"/>
          <w:lang w:val="es-ES" w:eastAsia="es-CO"/>
        </w:rPr>
        <w:t>. Así mismo lo han reconocido tanto la Corte Constitucional como la Corte Interamericana de Derechos Humano, quien al respecto señaló:</w:t>
      </w:r>
    </w:p>
    <w:p w:rsidR="00117056" w:rsidRPr="00FA7E5C" w:rsidRDefault="00117056" w:rsidP="00117056">
      <w:pPr>
        <w:spacing w:after="0" w:line="240" w:lineRule="auto"/>
        <w:jc w:val="both"/>
        <w:rPr>
          <w:rFonts w:ascii="Times New Roman" w:hAnsi="Times New Roman" w:cs="Times New Roman"/>
          <w:sz w:val="24"/>
          <w:szCs w:val="24"/>
          <w:vertAlign w:val="superscript"/>
          <w:lang w:val="es-ES" w:eastAsia="es-CO"/>
        </w:rPr>
      </w:pPr>
    </w:p>
    <w:p w:rsidR="00117056" w:rsidRPr="00FA7E5C" w:rsidRDefault="00117056" w:rsidP="00117056">
      <w:pPr>
        <w:spacing w:after="0" w:line="240" w:lineRule="auto"/>
        <w:ind w:left="708"/>
        <w:jc w:val="both"/>
        <w:rPr>
          <w:rFonts w:ascii="Times New Roman" w:hAnsi="Times New Roman" w:cs="Times New Roman"/>
          <w:sz w:val="24"/>
          <w:szCs w:val="24"/>
          <w:lang w:val="es-ES" w:eastAsia="es-CO"/>
        </w:rPr>
      </w:pPr>
      <w:r w:rsidRPr="00FA7E5C">
        <w:rPr>
          <w:rFonts w:ascii="Times New Roman" w:hAnsi="Times New Roman" w:cs="Times New Roman"/>
          <w:sz w:val="24"/>
          <w:szCs w:val="24"/>
          <w:lang w:val="es-ES" w:eastAsia="es-CO"/>
        </w:rPr>
        <w:lastRenderedPageBreak/>
        <w:t xml:space="preserve">“La indemnización que se debe a las víctimas o a sus familiares en los términos del artículo 63.1 de la Convención, debe estar orientada a procurar la </w:t>
      </w:r>
      <w:proofErr w:type="spellStart"/>
      <w:r w:rsidRPr="00FA7E5C">
        <w:rPr>
          <w:rFonts w:ascii="Times New Roman" w:hAnsi="Times New Roman" w:cs="Times New Roman"/>
          <w:i/>
          <w:iCs/>
          <w:sz w:val="24"/>
          <w:szCs w:val="24"/>
          <w:lang w:val="es-ES" w:eastAsia="es-CO"/>
        </w:rPr>
        <w:t>restitutio</w:t>
      </w:r>
      <w:proofErr w:type="spellEnd"/>
      <w:r w:rsidRPr="00FA7E5C">
        <w:rPr>
          <w:rFonts w:ascii="Times New Roman" w:hAnsi="Times New Roman" w:cs="Times New Roman"/>
          <w:i/>
          <w:iCs/>
          <w:sz w:val="24"/>
          <w:szCs w:val="24"/>
          <w:lang w:val="es-ES" w:eastAsia="es-CO"/>
        </w:rPr>
        <w:t xml:space="preserve"> in </w:t>
      </w:r>
      <w:proofErr w:type="spellStart"/>
      <w:r w:rsidRPr="00FA7E5C">
        <w:rPr>
          <w:rFonts w:ascii="Times New Roman" w:hAnsi="Times New Roman" w:cs="Times New Roman"/>
          <w:i/>
          <w:iCs/>
          <w:sz w:val="24"/>
          <w:szCs w:val="24"/>
          <w:lang w:val="es-ES" w:eastAsia="es-CO"/>
        </w:rPr>
        <w:t>integrum</w:t>
      </w:r>
      <w:proofErr w:type="spellEnd"/>
      <w:r w:rsidRPr="00FA7E5C">
        <w:rPr>
          <w:rFonts w:ascii="Times New Roman" w:hAnsi="Times New Roman" w:cs="Times New Roman"/>
          <w:sz w:val="24"/>
          <w:szCs w:val="24"/>
          <w:lang w:val="es-ES" w:eastAsia="es-CO"/>
        </w:rPr>
        <w:t xml:space="preserve"> de los daños causados por el hecho violatorio de los derechos humanos. El desiderátum es la restitución total de la situación lesionada, lo cual, lamentablemente, es a menudo imposible, dada la naturaleza irreversible de los perjuicios ocasionados, tal como ocurre en el caso presente. En esos supuestos, es procedente acordar el pago de una </w:t>
      </w:r>
      <w:r w:rsidRPr="00FA7E5C">
        <w:rPr>
          <w:rFonts w:ascii="Times New Roman" w:hAnsi="Times New Roman" w:cs="Times New Roman"/>
          <w:b/>
          <w:sz w:val="24"/>
          <w:szCs w:val="24"/>
          <w:lang w:val="es-ES" w:eastAsia="es-CO"/>
        </w:rPr>
        <w:t>“justa indemnización” en términos lo suficientemente amplios para compensar, en la medida de lo posible, la pérdida sufrida</w:t>
      </w:r>
      <w:r w:rsidRPr="00FA7E5C">
        <w:rPr>
          <w:rFonts w:ascii="Times New Roman" w:hAnsi="Times New Roman" w:cs="Times New Roman"/>
          <w:sz w:val="24"/>
          <w:szCs w:val="24"/>
          <w:lang w:val="es-ES" w:eastAsia="es-CO"/>
        </w:rPr>
        <w:t>”</w:t>
      </w:r>
      <w:r w:rsidRPr="00FA7E5C">
        <w:rPr>
          <w:rFonts w:ascii="Times New Roman" w:hAnsi="Times New Roman" w:cs="Times New Roman"/>
          <w:sz w:val="24"/>
          <w:szCs w:val="24"/>
          <w:vertAlign w:val="superscript"/>
          <w:lang w:val="es-ES" w:eastAsia="es-CO"/>
        </w:rPr>
        <w:footnoteReference w:id="32"/>
      </w:r>
      <w:r w:rsidRPr="00FA7E5C">
        <w:rPr>
          <w:rFonts w:ascii="Times New Roman" w:hAnsi="Times New Roman" w:cs="Times New Roman"/>
          <w:sz w:val="24"/>
          <w:szCs w:val="24"/>
          <w:lang w:val="es-ES" w:eastAsia="es-CO"/>
        </w:rPr>
        <w:t xml:space="preserve"> (negrilla fuera del texto).</w:t>
      </w:r>
    </w:p>
    <w:p w:rsidR="00117056" w:rsidRPr="00FA7E5C" w:rsidRDefault="00117056" w:rsidP="00117056">
      <w:pPr>
        <w:spacing w:after="0" w:line="240" w:lineRule="auto"/>
        <w:jc w:val="both"/>
        <w:rPr>
          <w:rFonts w:ascii="Times New Roman" w:hAnsi="Times New Roman" w:cs="Times New Roman"/>
          <w:sz w:val="24"/>
          <w:szCs w:val="24"/>
          <w:lang w:val="es-ES" w:eastAsia="es-CO"/>
        </w:rPr>
      </w:pPr>
    </w:p>
    <w:p w:rsidR="00117056" w:rsidRPr="00FA7E5C" w:rsidRDefault="00117056" w:rsidP="00117056">
      <w:pPr>
        <w:spacing w:after="0" w:line="240" w:lineRule="auto"/>
        <w:jc w:val="both"/>
        <w:rPr>
          <w:rFonts w:ascii="Times New Roman" w:hAnsi="Times New Roman" w:cs="Times New Roman"/>
          <w:sz w:val="24"/>
          <w:szCs w:val="24"/>
          <w:lang w:val="es-ES" w:eastAsia="es-CO"/>
        </w:rPr>
      </w:pPr>
      <w:r w:rsidRPr="00FA7E5C">
        <w:rPr>
          <w:rFonts w:ascii="Times New Roman" w:hAnsi="Times New Roman" w:cs="Times New Roman"/>
          <w:sz w:val="24"/>
          <w:szCs w:val="24"/>
          <w:lang w:val="es-ES" w:eastAsia="es-CO"/>
        </w:rPr>
        <w:t>Respecto de los daños morales, el mismo Tribunal ha advertido que la “justa indemnización” mencionada en el artículo 63.1 de la Convención Interamericana de Derechos Humanos debe tener en cuenta los perjuicios que “resulta[n] principalmente de los efectos psíquicos que han sufrido los familiares”</w:t>
      </w:r>
      <w:r w:rsidRPr="00FA7E5C">
        <w:rPr>
          <w:rFonts w:ascii="Times New Roman" w:hAnsi="Times New Roman" w:cs="Times New Roman"/>
          <w:sz w:val="24"/>
          <w:szCs w:val="24"/>
          <w:vertAlign w:val="superscript"/>
          <w:lang w:val="es-ES" w:eastAsia="es-CO"/>
        </w:rPr>
        <w:footnoteReference w:id="33"/>
      </w:r>
      <w:r w:rsidRPr="00FA7E5C">
        <w:rPr>
          <w:rFonts w:ascii="Times New Roman" w:hAnsi="Times New Roman" w:cs="Times New Roman"/>
          <w:sz w:val="24"/>
          <w:szCs w:val="24"/>
          <w:lang w:val="es-ES" w:eastAsia="es-CO"/>
        </w:rPr>
        <w:t xml:space="preserve"> y que la reparación del perjuicio moral debe ajustarse a los principios de equidad</w:t>
      </w:r>
      <w:r w:rsidRPr="00FA7E5C">
        <w:rPr>
          <w:rFonts w:ascii="Times New Roman" w:hAnsi="Times New Roman" w:cs="Times New Roman"/>
          <w:sz w:val="24"/>
          <w:szCs w:val="24"/>
          <w:vertAlign w:val="superscript"/>
          <w:lang w:val="es-ES" w:eastAsia="es-CO"/>
        </w:rPr>
        <w:footnoteReference w:id="34"/>
      </w:r>
      <w:r w:rsidRPr="00FA7E5C">
        <w:rPr>
          <w:rFonts w:ascii="Times New Roman" w:hAnsi="Times New Roman" w:cs="Times New Roman"/>
          <w:sz w:val="24"/>
          <w:szCs w:val="24"/>
          <w:lang w:val="es-ES" w:eastAsia="es-CO"/>
        </w:rPr>
        <w:t xml:space="preserve">.  </w:t>
      </w:r>
    </w:p>
    <w:p w:rsidR="00117056" w:rsidRPr="00FA7E5C" w:rsidRDefault="00117056" w:rsidP="00117056">
      <w:pPr>
        <w:spacing w:after="0" w:line="240" w:lineRule="auto"/>
        <w:jc w:val="both"/>
        <w:rPr>
          <w:rFonts w:ascii="Times New Roman" w:hAnsi="Times New Roman" w:cs="Times New Roman"/>
          <w:sz w:val="24"/>
          <w:szCs w:val="24"/>
          <w:lang w:val="es-ES" w:eastAsia="es-CO"/>
        </w:rPr>
      </w:pPr>
    </w:p>
    <w:p w:rsidR="00117056" w:rsidRPr="00FA7E5C" w:rsidRDefault="00117056" w:rsidP="00117056">
      <w:pPr>
        <w:spacing w:after="0" w:line="240" w:lineRule="aut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En este escenario es evidente la contraposición entre el procedimiento del incidente de reparación y el objetivo la reparación de la víctima. Si bien es cierto el incidente pretende la reparación de la víctima, también lo es que su alcance es limitado respecto de la compensación del daño moral y omite otros elementos propios de la reparación integral como, la justa reparación, la adopción de medidas de no repetición, de satisfacción y de rehabilitación que devienen del ordenamiento internacional.</w:t>
      </w:r>
    </w:p>
    <w:p w:rsidR="00117056" w:rsidRPr="00FA7E5C" w:rsidRDefault="00117056" w:rsidP="00117056">
      <w:pPr>
        <w:spacing w:after="0" w:line="240" w:lineRule="auto"/>
        <w:jc w:val="both"/>
        <w:rPr>
          <w:rFonts w:ascii="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Ahora bien, la legislación civil no restringe la reparación a un monto específico, sino que deja en manos de la parte interesada demostrar a cuánto asciende su pretensión y será el juez –una vez evaluadas las pruebas y con base en criterios de equidad– quien fije el monto de la reparación. Tampoco establece como único medio de reparación el pecuniario. Así las cosas, se propone que la reparación del daño que proviene de una infracción a la ley penal sea establecida en in procedimiento civil regido por el artículo 2341, el cual señala que: “</w:t>
      </w:r>
      <w:r w:rsidRPr="00FA7E5C">
        <w:rPr>
          <w:rFonts w:ascii="Times New Roman" w:hAnsi="Times New Roman" w:cs="Times New Roman"/>
          <w:i/>
          <w:sz w:val="24"/>
          <w:szCs w:val="24"/>
          <w:lang w:eastAsia="es-CO"/>
        </w:rPr>
        <w:t>[e]l que ha cometido un delito o culpa, que ha inferido daño a otro, es obligado a la indemnización, sin perjuicio de la pena principal que la ley imponga por la culpa o el delito cometido”</w:t>
      </w:r>
      <w:r w:rsidRPr="00FA7E5C">
        <w:rPr>
          <w:rFonts w:ascii="Times New Roman" w:hAnsi="Times New Roman" w:cs="Times New Roman"/>
          <w:sz w:val="24"/>
          <w:szCs w:val="24"/>
          <w:lang w:eastAsia="es-CO"/>
        </w:rPr>
        <w:t xml:space="preserve">. </w:t>
      </w:r>
    </w:p>
    <w:p w:rsidR="00117056" w:rsidRPr="00FA7E5C" w:rsidRDefault="00117056" w:rsidP="00117056">
      <w:pPr>
        <w:spacing w:after="0" w:line="240" w:lineRule="auto"/>
        <w:jc w:val="both"/>
        <w:rPr>
          <w:rFonts w:ascii="Times New Roman" w:hAnsi="Times New Roman" w:cs="Times New Roman"/>
          <w:i/>
          <w:sz w:val="24"/>
          <w:szCs w:val="24"/>
          <w:lang w:eastAsia="es-CO"/>
        </w:rPr>
      </w:pPr>
    </w:p>
    <w:p w:rsidR="00117056" w:rsidRPr="00FA7E5C" w:rsidRDefault="00117056" w:rsidP="00117056">
      <w:pPr>
        <w:numPr>
          <w:ilvl w:val="0"/>
          <w:numId w:val="20"/>
        </w:numPr>
        <w:spacing w:after="0" w:line="240" w:lineRule="auto"/>
        <w:jc w:val="both"/>
        <w:rPr>
          <w:rFonts w:ascii="Times New Roman" w:hAnsi="Times New Roman" w:cs="Times New Roman"/>
          <w:b/>
          <w:sz w:val="24"/>
          <w:szCs w:val="24"/>
          <w:lang w:eastAsia="es-CO"/>
        </w:rPr>
      </w:pPr>
      <w:r w:rsidRPr="00FA7E5C">
        <w:rPr>
          <w:rFonts w:ascii="Times New Roman" w:hAnsi="Times New Roman" w:cs="Times New Roman"/>
          <w:b/>
          <w:sz w:val="24"/>
          <w:szCs w:val="24"/>
          <w:lang w:eastAsia="es-CO"/>
        </w:rPr>
        <w:t>Habilita a las víctimas para acceder a un procedimiento reglado con términos claros que implican una recurso judicial efectivo y justo en materia de reparación</w:t>
      </w:r>
    </w:p>
    <w:p w:rsidR="00117056" w:rsidRPr="00FA7E5C" w:rsidRDefault="00117056" w:rsidP="00117056">
      <w:pPr>
        <w:spacing w:after="0" w:line="240" w:lineRule="auto"/>
        <w:jc w:val="both"/>
        <w:rPr>
          <w:rFonts w:ascii="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Con la ejecución de la propuesta planteada, los derechos a la verdad, justicia y reparación de las víctimas de una infracción penal estarían debidamente garantizados, ya que en el proceso penal establecerían la verdad acerca de los acontecimientos sucedidos y las circunstancias que llevaron a la perpetración de los crímenes</w:t>
      </w:r>
      <w:r w:rsidRPr="00FA7E5C">
        <w:rPr>
          <w:rFonts w:ascii="Times New Roman" w:hAnsi="Times New Roman" w:cs="Times New Roman"/>
          <w:sz w:val="24"/>
          <w:szCs w:val="24"/>
          <w:vertAlign w:val="superscript"/>
          <w:lang w:eastAsia="es-CO"/>
        </w:rPr>
        <w:footnoteReference w:id="35"/>
      </w:r>
      <w:r w:rsidRPr="00FA7E5C">
        <w:rPr>
          <w:rFonts w:ascii="Times New Roman" w:hAnsi="Times New Roman" w:cs="Times New Roman"/>
          <w:sz w:val="24"/>
          <w:szCs w:val="24"/>
          <w:lang w:eastAsia="es-CO"/>
        </w:rPr>
        <w:t xml:space="preserve">. Así mismo, se cumpliría </w:t>
      </w:r>
      <w:r w:rsidRPr="00FA7E5C">
        <w:rPr>
          <w:rFonts w:ascii="Times New Roman" w:hAnsi="Times New Roman" w:cs="Times New Roman"/>
          <w:sz w:val="24"/>
          <w:szCs w:val="24"/>
          <w:lang w:eastAsia="es-CO"/>
        </w:rPr>
        <w:lastRenderedPageBreak/>
        <w:t>con el deber del Estado de investigar y sancionar adecuadamente a los autores y partícipes de los delitos y, a través de las formas de la legislación civil, se realizaría la reparación integral de los daños sufridos. Este procedimiento cuenta con una regulación específica en el Código General del Proceso que no podrá exceder 1 año en su resolución</w:t>
      </w:r>
      <w:r w:rsidRPr="00FA7E5C">
        <w:rPr>
          <w:rFonts w:ascii="Times New Roman" w:hAnsi="Times New Roman" w:cs="Times New Roman"/>
          <w:sz w:val="24"/>
          <w:szCs w:val="24"/>
          <w:vertAlign w:val="superscript"/>
          <w:lang w:eastAsia="es-CO"/>
        </w:rPr>
        <w:footnoteReference w:id="36"/>
      </w:r>
      <w:r w:rsidRPr="00FA7E5C">
        <w:rPr>
          <w:rFonts w:ascii="Times New Roman" w:hAnsi="Times New Roman" w:cs="Times New Roman"/>
          <w:sz w:val="24"/>
          <w:szCs w:val="24"/>
          <w:lang w:eastAsia="es-CO"/>
        </w:rPr>
        <w:t xml:space="preserve">. Además, no contempla un término perentorio de caducidad de la acción. </w:t>
      </w:r>
    </w:p>
    <w:p w:rsidR="00117056" w:rsidRPr="00FA7E5C" w:rsidRDefault="00117056" w:rsidP="00117056">
      <w:pPr>
        <w:spacing w:after="0" w:line="240" w:lineRule="auto"/>
        <w:jc w:val="both"/>
        <w:rPr>
          <w:rFonts w:ascii="Times New Roman" w:hAnsi="Times New Roman" w:cs="Times New Roman"/>
          <w:sz w:val="24"/>
          <w:szCs w:val="24"/>
          <w:lang w:eastAsia="es-CO"/>
        </w:rPr>
      </w:pPr>
    </w:p>
    <w:p w:rsidR="00117056" w:rsidRPr="00FA7E5C" w:rsidRDefault="00117056" w:rsidP="00117056">
      <w:pPr>
        <w:numPr>
          <w:ilvl w:val="0"/>
          <w:numId w:val="20"/>
        </w:numPr>
        <w:spacing w:after="0" w:line="240" w:lineRule="auto"/>
        <w:jc w:val="both"/>
        <w:rPr>
          <w:rFonts w:ascii="Times New Roman" w:hAnsi="Times New Roman" w:cs="Times New Roman"/>
          <w:b/>
          <w:sz w:val="24"/>
          <w:szCs w:val="24"/>
          <w:lang w:eastAsia="es-CO"/>
        </w:rPr>
      </w:pPr>
      <w:r w:rsidRPr="00FA7E5C">
        <w:rPr>
          <w:rFonts w:ascii="Times New Roman" w:hAnsi="Times New Roman" w:cs="Times New Roman"/>
          <w:b/>
          <w:sz w:val="24"/>
          <w:szCs w:val="24"/>
          <w:lang w:eastAsia="es-CO"/>
        </w:rPr>
        <w:t xml:space="preserve">La tasación del daño estaría en manos de personal calificado para el efecto </w:t>
      </w:r>
    </w:p>
    <w:p w:rsidR="00117056" w:rsidRPr="00FA7E5C" w:rsidRDefault="00117056" w:rsidP="00117056">
      <w:pPr>
        <w:spacing w:after="0" w:line="240" w:lineRule="auto"/>
        <w:jc w:val="both"/>
        <w:rPr>
          <w:rFonts w:ascii="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hAnsi="Times New Roman" w:cs="Times New Roman"/>
          <w:sz w:val="24"/>
          <w:szCs w:val="24"/>
          <w:lang w:eastAsia="es-CO"/>
        </w:rPr>
      </w:pPr>
      <w:r w:rsidRPr="00FA7E5C">
        <w:rPr>
          <w:rFonts w:ascii="Times New Roman" w:hAnsi="Times New Roman" w:cs="Times New Roman"/>
          <w:sz w:val="24"/>
          <w:szCs w:val="24"/>
          <w:lang w:eastAsia="es-CO"/>
        </w:rPr>
        <w:t xml:space="preserve">Finalmente, reforzaría el ámbito de protección del derecho a la reparación de las víctimas del injusto penal, dado que la justicia civil cuenta con personal ampliamente capacitado para conocer de este tipo de procedimientos, gracias a la especialidad de los funcionarios que hacen parte de estos despachos judiciales. </w:t>
      </w:r>
    </w:p>
    <w:p w:rsidR="00117056" w:rsidRPr="00FA7E5C" w:rsidRDefault="00117056" w:rsidP="00117056">
      <w:pPr>
        <w:spacing w:after="0" w:line="240" w:lineRule="auto"/>
        <w:jc w:val="both"/>
        <w:rPr>
          <w:rFonts w:ascii="Times New Roman" w:eastAsia="MS Minngs" w:hAnsi="Times New Roman" w:cs="Times New Roman"/>
          <w:sz w:val="24"/>
          <w:szCs w:val="24"/>
          <w:lang w:eastAsia="es-CO"/>
        </w:rPr>
      </w:pPr>
    </w:p>
    <w:p w:rsidR="00117056" w:rsidRPr="00FA7E5C" w:rsidRDefault="00117056" w:rsidP="00117056">
      <w:pPr>
        <w:spacing w:after="0" w:line="240" w:lineRule="auto"/>
        <w:jc w:val="both"/>
        <w:rPr>
          <w:rFonts w:ascii="Times New Roman" w:eastAsia="MS Minngs" w:hAnsi="Times New Roman" w:cs="Times New Roman"/>
          <w:sz w:val="24"/>
          <w:szCs w:val="24"/>
          <w:lang w:eastAsia="es-CO"/>
        </w:rPr>
      </w:pPr>
      <w:r w:rsidRPr="00FA7E5C">
        <w:rPr>
          <w:rFonts w:ascii="Times New Roman" w:eastAsia="MS Minngs" w:hAnsi="Times New Roman" w:cs="Times New Roman"/>
          <w:sz w:val="24"/>
          <w:szCs w:val="24"/>
          <w:lang w:eastAsia="es-CO"/>
        </w:rPr>
        <w:t xml:space="preserve">En este orden de ideas, las reformas planteadas en el proyecto de ley que es objeto de revisión ayudarán a que las víctimas de las infracciones penales cuenten con una reparación de cada uno de los daños que hayan sido probados en el proceso, sin límite alguno, más que el principio de equidad. </w:t>
      </w:r>
    </w:p>
    <w:p w:rsidR="00117056" w:rsidRPr="00FA7E5C" w:rsidRDefault="00117056" w:rsidP="00117056">
      <w:pPr>
        <w:spacing w:after="0" w:line="240" w:lineRule="auto"/>
        <w:rPr>
          <w:rFonts w:ascii="Times New Roman" w:hAnsi="Times New Roman" w:cs="Times New Roman"/>
          <w:b/>
          <w:sz w:val="24"/>
          <w:szCs w:val="24"/>
        </w:rPr>
      </w:pPr>
    </w:p>
    <w:p w:rsidR="000B2B33" w:rsidRPr="00FA7E5C" w:rsidRDefault="000B2B33" w:rsidP="00117056">
      <w:pPr>
        <w:spacing w:after="0" w:line="240" w:lineRule="auto"/>
        <w:rPr>
          <w:rFonts w:ascii="Times New Roman" w:hAnsi="Times New Roman" w:cs="Times New Roman"/>
          <w:b/>
          <w:sz w:val="24"/>
          <w:szCs w:val="24"/>
        </w:rPr>
      </w:pPr>
    </w:p>
    <w:p w:rsidR="00117056" w:rsidRPr="00FA7E5C" w:rsidRDefault="00117056" w:rsidP="00D319AC">
      <w:pPr>
        <w:numPr>
          <w:ilvl w:val="0"/>
          <w:numId w:val="1"/>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LA FALTA DE AFECTACIÓN SUFICIENTE AL BIEN JURÍDICO TUTELADO COMO CAUSAL DE ARCHIVO </w:t>
      </w:r>
    </w:p>
    <w:p w:rsidR="00117056" w:rsidRPr="00FA7E5C" w:rsidRDefault="00117056" w:rsidP="00117056">
      <w:pPr>
        <w:spacing w:after="0" w:line="240" w:lineRule="auto"/>
        <w:ind w:left="1080"/>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El proyecto de ley propone modificar el artículo 79 del Código de Procedimiento Penal para incluir la ausencia de afectación suficiente del bien jurídico tutelado y/o la falta de efectiva puesta en peligro del mismo, como causal de archivo. Esta modificación pretende maximizar el principio de </w:t>
      </w:r>
      <w:r w:rsidRPr="00FA7E5C">
        <w:rPr>
          <w:rFonts w:ascii="Times New Roman" w:hAnsi="Times New Roman" w:cs="Times New Roman"/>
          <w:i/>
          <w:sz w:val="24"/>
          <w:szCs w:val="24"/>
        </w:rPr>
        <w:t xml:space="preserve">última ratio </w:t>
      </w:r>
      <w:r w:rsidRPr="00FA7E5C">
        <w:rPr>
          <w:rFonts w:ascii="Times New Roman" w:hAnsi="Times New Roman" w:cs="Times New Roman"/>
          <w:sz w:val="24"/>
          <w:szCs w:val="24"/>
        </w:rPr>
        <w:t xml:space="preserve">del derecho penal, de manera tal que solo sean judicializados a través del derecho penal los casos que efectivamente revistan las características de delito. En consecuencia, la Fiscalía General de la Nación podrá optimizar los recursos investigativos en los casos relevantes para la política criminal del Estado.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rPr>
      </w:pPr>
      <w:r w:rsidRPr="00FA7E5C">
        <w:rPr>
          <w:rFonts w:ascii="Times New Roman" w:hAnsi="Times New Roman" w:cs="Times New Roman"/>
          <w:sz w:val="24"/>
          <w:szCs w:val="24"/>
        </w:rPr>
        <w:t>Esta iniciativa (i) está plenamente justificada en el artículo 250 de la Constitución Política, (</w:t>
      </w:r>
      <w:proofErr w:type="spellStart"/>
      <w:r w:rsidRPr="00FA7E5C">
        <w:rPr>
          <w:rFonts w:ascii="Times New Roman" w:hAnsi="Times New Roman" w:cs="Times New Roman"/>
          <w:sz w:val="24"/>
          <w:szCs w:val="24"/>
        </w:rPr>
        <w:t>ii</w:t>
      </w:r>
      <w:proofErr w:type="spellEnd"/>
      <w:r w:rsidRPr="00FA7E5C">
        <w:rPr>
          <w:rFonts w:ascii="Times New Roman" w:hAnsi="Times New Roman" w:cs="Times New Roman"/>
          <w:sz w:val="24"/>
          <w:szCs w:val="24"/>
        </w:rPr>
        <w:t xml:space="preserve">) materializa el principio de </w:t>
      </w:r>
      <w:r w:rsidRPr="00FA7E5C">
        <w:rPr>
          <w:rFonts w:ascii="Times New Roman" w:hAnsi="Times New Roman" w:cs="Times New Roman"/>
          <w:i/>
          <w:sz w:val="24"/>
          <w:szCs w:val="24"/>
        </w:rPr>
        <w:t>última ratio</w:t>
      </w:r>
      <w:r w:rsidRPr="00FA7E5C">
        <w:rPr>
          <w:rFonts w:ascii="Times New Roman" w:hAnsi="Times New Roman" w:cs="Times New Roman"/>
          <w:sz w:val="24"/>
          <w:szCs w:val="24"/>
        </w:rPr>
        <w:t xml:space="preserve"> del derecho penal, y (</w:t>
      </w:r>
      <w:proofErr w:type="spellStart"/>
      <w:r w:rsidRPr="00FA7E5C">
        <w:rPr>
          <w:rFonts w:ascii="Times New Roman" w:hAnsi="Times New Roman" w:cs="Times New Roman"/>
          <w:sz w:val="24"/>
          <w:szCs w:val="24"/>
        </w:rPr>
        <w:t>iii</w:t>
      </w:r>
      <w:proofErr w:type="spellEnd"/>
      <w:r w:rsidRPr="00FA7E5C">
        <w:rPr>
          <w:rFonts w:ascii="Times New Roman" w:hAnsi="Times New Roman" w:cs="Times New Roman"/>
          <w:sz w:val="24"/>
          <w:szCs w:val="24"/>
        </w:rPr>
        <w:t xml:space="preserve">) no representa una vulneración de los derechos de las víctimas, en tanto, no es una decisión con efectos de cosa juzgaba absoluta.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numPr>
          <w:ilvl w:val="0"/>
          <w:numId w:val="21"/>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lastRenderedPageBreak/>
        <w:t>La iniciativa legislativa está justificada en los dispuesto por el artículo 250 superior</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Según el artículo 250 de la Constitución Política el Ente Acusador tiene la obligación de investigar todos los hechos que lleguen a su conocimiento, siempre y cuando estos revistan las características de delito y medien suficientes motivos y circunstancias fácticas que indiquen la posible existencia del mismo, así:</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ind w:left="708"/>
        <w:jc w:val="both"/>
        <w:rPr>
          <w:rFonts w:ascii="Times New Roman" w:hAnsi="Times New Roman" w:cs="Times New Roman"/>
          <w:sz w:val="24"/>
          <w:szCs w:val="24"/>
        </w:rPr>
      </w:pPr>
      <w:r w:rsidRPr="00FA7E5C">
        <w:rPr>
          <w:rFonts w:ascii="Times New Roman" w:hAnsi="Times New Roman" w:cs="Times New Roman"/>
          <w:sz w:val="24"/>
          <w:szCs w:val="24"/>
        </w:rPr>
        <w:t xml:space="preserve">“La Fiscalía General de la Nación está obligada a adelantar el ejercicio de la acción penal y realizar la investigación de los hechos </w:t>
      </w:r>
      <w:r w:rsidRPr="00FA7E5C">
        <w:rPr>
          <w:rFonts w:ascii="Times New Roman" w:hAnsi="Times New Roman" w:cs="Times New Roman"/>
          <w:sz w:val="24"/>
          <w:szCs w:val="24"/>
          <w:u w:val="single"/>
        </w:rPr>
        <w:t>que revistan las características de un delito</w:t>
      </w:r>
      <w:r w:rsidRPr="00FA7E5C">
        <w:rPr>
          <w:rFonts w:ascii="Times New Roman" w:hAnsi="Times New Roman" w:cs="Times New Roman"/>
          <w:sz w:val="24"/>
          <w:szCs w:val="24"/>
        </w:rPr>
        <w:t xml:space="preserve"> que lleguen a su conocimiento por medio de denuncia, petición especial, querella o de oficio, </w:t>
      </w:r>
      <w:r w:rsidRPr="00FA7E5C">
        <w:rPr>
          <w:rFonts w:ascii="Times New Roman" w:hAnsi="Times New Roman" w:cs="Times New Roman"/>
          <w:sz w:val="24"/>
          <w:szCs w:val="24"/>
          <w:u w:val="single"/>
        </w:rPr>
        <w:t>siempre y cuando medien suficientes motivos y circunstancias fácticas que indiquen la posible existencia del mismo</w:t>
      </w:r>
      <w:r w:rsidRPr="00FA7E5C">
        <w:rPr>
          <w:rFonts w:ascii="Times New Roman" w:hAnsi="Times New Roman" w:cs="Times New Roman"/>
          <w:sz w:val="24"/>
          <w:szCs w:val="24"/>
        </w:rPr>
        <w:t>. (…)”</w:t>
      </w:r>
      <w:r w:rsidRPr="00FA7E5C">
        <w:rPr>
          <w:rFonts w:ascii="Times New Roman" w:hAnsi="Times New Roman" w:cs="Times New Roman"/>
          <w:sz w:val="24"/>
          <w:szCs w:val="24"/>
          <w:vertAlign w:val="superscript"/>
        </w:rPr>
        <w:footnoteReference w:id="37"/>
      </w:r>
      <w:r w:rsidRPr="00FA7E5C">
        <w:rPr>
          <w:rFonts w:ascii="Times New Roman" w:hAnsi="Times New Roman" w:cs="Times New Roman"/>
          <w:sz w:val="24"/>
          <w:szCs w:val="24"/>
        </w:rPr>
        <w:t xml:space="preserve">. (Subrayado fuera del texto).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De conformidad con el Código Penal una conducta reviste la característica de delito cuando es típica, antijurídica y culpable</w:t>
      </w:r>
      <w:r w:rsidRPr="00FA7E5C">
        <w:rPr>
          <w:rFonts w:ascii="Times New Roman" w:hAnsi="Times New Roman" w:cs="Times New Roman"/>
          <w:sz w:val="24"/>
          <w:szCs w:val="24"/>
          <w:vertAlign w:val="superscript"/>
        </w:rPr>
        <w:footnoteReference w:id="38"/>
      </w:r>
      <w:r w:rsidRPr="00FA7E5C">
        <w:rPr>
          <w:rFonts w:ascii="Times New Roman" w:hAnsi="Times New Roman" w:cs="Times New Roman"/>
          <w:sz w:val="24"/>
          <w:szCs w:val="24"/>
        </w:rPr>
        <w:t>. Esto significa que para que la Fiscalía General de la Nación tenga obligación constitucional de investigar es necesario que los hechos que lleguen a su conocimiento, estén consagrados por la norma como delito</w:t>
      </w:r>
      <w:r w:rsidRPr="00FA7E5C">
        <w:rPr>
          <w:rFonts w:ascii="Times New Roman" w:hAnsi="Times New Roman" w:cs="Times New Roman"/>
          <w:sz w:val="24"/>
          <w:szCs w:val="24"/>
          <w:vertAlign w:val="superscript"/>
        </w:rPr>
        <w:footnoteReference w:id="39"/>
      </w:r>
      <w:r w:rsidRPr="00FA7E5C">
        <w:rPr>
          <w:rFonts w:ascii="Times New Roman" w:hAnsi="Times New Roman" w:cs="Times New Roman"/>
          <w:sz w:val="24"/>
          <w:szCs w:val="24"/>
        </w:rPr>
        <w:t>, lesione o ponga en peligro, efectivamente el bien jurídicamente tutelado</w:t>
      </w:r>
      <w:r w:rsidRPr="00FA7E5C">
        <w:rPr>
          <w:rFonts w:ascii="Times New Roman" w:hAnsi="Times New Roman" w:cs="Times New Roman"/>
          <w:sz w:val="24"/>
          <w:szCs w:val="24"/>
          <w:vertAlign w:val="superscript"/>
        </w:rPr>
        <w:footnoteReference w:id="40"/>
      </w:r>
      <w:r w:rsidRPr="00FA7E5C">
        <w:rPr>
          <w:rFonts w:ascii="Times New Roman" w:hAnsi="Times New Roman" w:cs="Times New Roman"/>
          <w:sz w:val="24"/>
          <w:szCs w:val="24"/>
        </w:rPr>
        <w:t>, y sea posible demostrar la responsabilidad subjetiva del sujeto</w:t>
      </w:r>
      <w:r w:rsidRPr="00FA7E5C">
        <w:rPr>
          <w:rFonts w:ascii="Times New Roman" w:hAnsi="Times New Roman" w:cs="Times New Roman"/>
          <w:sz w:val="24"/>
          <w:szCs w:val="24"/>
          <w:vertAlign w:val="superscript"/>
        </w:rPr>
        <w:footnoteReference w:id="41"/>
      </w:r>
      <w:r w:rsidRPr="00FA7E5C">
        <w:rPr>
          <w:rFonts w:ascii="Times New Roman" w:hAnsi="Times New Roman" w:cs="Times New Roman"/>
          <w:sz w:val="24"/>
          <w:szCs w:val="24"/>
        </w:rPr>
        <w:t>. Ante la ausencia de alguno de estos elementos el Ente Acusador debe abstenerse de continuar la investigación, salvo que posteriormente aparezcan nuevos elementos materiales probatorios o evidencia física que le permitan determinar que los hechos si revisten las características de delito. Al respecto la Corte Constitucional señaló:</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ind w:left="360"/>
        <w:jc w:val="both"/>
        <w:rPr>
          <w:rFonts w:ascii="Times New Roman" w:hAnsi="Times New Roman" w:cs="Times New Roman"/>
          <w:sz w:val="24"/>
          <w:szCs w:val="24"/>
        </w:rPr>
      </w:pPr>
      <w:r w:rsidRPr="00FA7E5C">
        <w:rPr>
          <w:rFonts w:ascii="Times New Roman" w:hAnsi="Times New Roman" w:cs="Times New Roman"/>
          <w:sz w:val="24"/>
          <w:szCs w:val="24"/>
        </w:rPr>
        <w:t>“</w:t>
      </w:r>
      <w:r w:rsidRPr="00FA7E5C">
        <w:rPr>
          <w:rFonts w:ascii="Times New Roman" w:hAnsi="Times New Roman" w:cs="Times New Roman"/>
          <w:sz w:val="24"/>
          <w:szCs w:val="24"/>
          <w:u w:val="single"/>
        </w:rPr>
        <w:t>En el archivo de las diligencias no se está en un caso de suspensión, interrupción o renuncia de la acción penal, pues para que se pueda ejercer dicha acción se deben dar unos presupuestos mínimos que indiquen la existencia de un delito</w:t>
      </w:r>
      <w:r w:rsidRPr="00FA7E5C">
        <w:rPr>
          <w:rFonts w:ascii="Times New Roman" w:hAnsi="Times New Roman" w:cs="Times New Roman"/>
          <w:sz w:val="24"/>
          <w:szCs w:val="24"/>
        </w:rPr>
        <w:t xml:space="preserve">. Así, hay una relación inescindible entre el ejercicio del principio de oportunidad y la posibilidad de ejercer la acción penal por existir un delito, ya que lo primero depende de lo segundo. Pero para poder ejercer la acción penal deben darse unos presupuestos que indiquen que una conducta sí puede caracterizarse como un delito. </w:t>
      </w:r>
      <w:r w:rsidRPr="00FA7E5C">
        <w:rPr>
          <w:rFonts w:ascii="Times New Roman" w:hAnsi="Times New Roman" w:cs="Times New Roman"/>
          <w:sz w:val="24"/>
          <w:szCs w:val="24"/>
          <w:u w:val="single"/>
        </w:rPr>
        <w:t xml:space="preserve">Por lo tanto, cuando el fiscal ordena el archivo de las diligencias en los supuestos del artículo 79 acusado, no se está ante una decisión de política criminal que, de acuerdo a unas causales claras y precisas definidas en la ley, permita dejar de ejercer la acción penal, sino que se está en un </w:t>
      </w:r>
      <w:r w:rsidRPr="00FA7E5C">
        <w:rPr>
          <w:rFonts w:ascii="Times New Roman" w:hAnsi="Times New Roman" w:cs="Times New Roman"/>
          <w:sz w:val="24"/>
          <w:szCs w:val="24"/>
          <w:u w:val="single"/>
        </w:rPr>
        <w:lastRenderedPageBreak/>
        <w:t>momento jurídico previo: la constatación de la ausencia de los presupuestos mínimos para ejercer la acción penal</w:t>
      </w:r>
      <w:r w:rsidRPr="00FA7E5C">
        <w:rPr>
          <w:rFonts w:ascii="Times New Roman" w:hAnsi="Times New Roman" w:cs="Times New Roman"/>
          <w:sz w:val="24"/>
          <w:szCs w:val="24"/>
        </w:rPr>
        <w:t>”</w:t>
      </w:r>
      <w:r w:rsidRPr="00FA7E5C">
        <w:rPr>
          <w:rFonts w:ascii="Times New Roman" w:hAnsi="Times New Roman" w:cs="Times New Roman"/>
          <w:sz w:val="24"/>
          <w:szCs w:val="24"/>
          <w:vertAlign w:val="superscript"/>
        </w:rPr>
        <w:footnoteReference w:id="42"/>
      </w:r>
      <w:r w:rsidRPr="00FA7E5C">
        <w:rPr>
          <w:rFonts w:ascii="Times New Roman" w:hAnsi="Times New Roman" w:cs="Times New Roman"/>
          <w:sz w:val="24"/>
          <w:szCs w:val="24"/>
        </w:rPr>
        <w:t xml:space="preserve">.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La norma actualmente consagra “[c]</w:t>
      </w:r>
      <w:proofErr w:type="spellStart"/>
      <w:r w:rsidRPr="00FA7E5C">
        <w:rPr>
          <w:rFonts w:ascii="Times New Roman" w:hAnsi="Times New Roman" w:cs="Times New Roman"/>
          <w:sz w:val="24"/>
          <w:szCs w:val="24"/>
        </w:rPr>
        <w:t>uando</w:t>
      </w:r>
      <w:proofErr w:type="spellEnd"/>
      <w:r w:rsidRPr="00FA7E5C">
        <w:rPr>
          <w:rFonts w:ascii="Times New Roman" w:hAnsi="Times New Roman" w:cs="Times New Roman"/>
          <w:sz w:val="24"/>
          <w:szCs w:val="24"/>
        </w:rPr>
        <w:t xml:space="preserve"> la Fiscalía tenga conocimiento de un hecho respecto del cual constate </w:t>
      </w:r>
      <w:r w:rsidRPr="00FA7E5C">
        <w:rPr>
          <w:rFonts w:ascii="Times New Roman" w:hAnsi="Times New Roman" w:cs="Times New Roman"/>
          <w:sz w:val="24"/>
          <w:szCs w:val="24"/>
          <w:u w:val="single"/>
        </w:rPr>
        <w:t>que no existen motivos o circunstancias fácticas que permitan su caracterización como delito</w:t>
      </w:r>
      <w:r w:rsidRPr="00FA7E5C">
        <w:rPr>
          <w:rFonts w:ascii="Times New Roman" w:hAnsi="Times New Roman" w:cs="Times New Roman"/>
          <w:sz w:val="24"/>
          <w:szCs w:val="24"/>
        </w:rPr>
        <w:t xml:space="preserve"> (…)”</w:t>
      </w:r>
      <w:r w:rsidRPr="00FA7E5C">
        <w:rPr>
          <w:rFonts w:ascii="Times New Roman" w:hAnsi="Times New Roman" w:cs="Times New Roman"/>
          <w:sz w:val="24"/>
          <w:szCs w:val="24"/>
          <w:vertAlign w:val="superscript"/>
        </w:rPr>
        <w:footnoteReference w:id="43"/>
      </w:r>
      <w:r w:rsidRPr="00FA7E5C">
        <w:rPr>
          <w:rFonts w:ascii="Times New Roman" w:hAnsi="Times New Roman" w:cs="Times New Roman"/>
          <w:sz w:val="24"/>
          <w:szCs w:val="24"/>
        </w:rPr>
        <w:t>. La Corte al estudiar la constitucionalidad de la norma determinó que ésta solo es exequible en el entendido que la expresión “su caracterización como delito” corresponde a la tipicidad objetiva de la conducta</w:t>
      </w:r>
      <w:r w:rsidRPr="00FA7E5C">
        <w:rPr>
          <w:rFonts w:ascii="Times New Roman" w:hAnsi="Times New Roman" w:cs="Times New Roman"/>
          <w:sz w:val="24"/>
          <w:szCs w:val="24"/>
          <w:vertAlign w:val="superscript"/>
        </w:rPr>
        <w:footnoteReference w:id="44"/>
      </w:r>
      <w:r w:rsidRPr="00FA7E5C">
        <w:rPr>
          <w:rFonts w:ascii="Times New Roman" w:hAnsi="Times New Roman" w:cs="Times New Roman"/>
          <w:sz w:val="24"/>
          <w:szCs w:val="24"/>
        </w:rPr>
        <w:t xml:space="preserve">. Según el pronunciamiento jurisprudencial;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ind w:left="360"/>
        <w:jc w:val="both"/>
        <w:rPr>
          <w:rFonts w:ascii="Times New Roman" w:hAnsi="Times New Roman" w:cs="Times New Roman"/>
          <w:sz w:val="24"/>
          <w:szCs w:val="24"/>
        </w:rPr>
      </w:pPr>
      <w:r w:rsidRPr="00FA7E5C">
        <w:rPr>
          <w:rFonts w:ascii="Times New Roman" w:hAnsi="Times New Roman" w:cs="Times New Roman"/>
          <w:sz w:val="24"/>
          <w:szCs w:val="24"/>
        </w:rPr>
        <w:t xml:space="preserve">“La orden de archivo de las diligencias procede cuando se constata que no existen “motivos y circunstancias fácticas que permitan su caracterización como delito”. </w:t>
      </w:r>
      <w:r w:rsidRPr="00FA7E5C">
        <w:rPr>
          <w:rFonts w:ascii="Times New Roman" w:hAnsi="Times New Roman" w:cs="Times New Roman"/>
          <w:sz w:val="24"/>
          <w:szCs w:val="24"/>
          <w:u w:val="single"/>
        </w:rPr>
        <w:t>La amplitud de los términos empleados en la norma acusada para referirse a la causa del archivo, hace necesario precisar la expresión para que se excluya cualquier interpretación de la norma que no corresponda a la verificación de la tipicidad objetiva</w:t>
      </w:r>
      <w:r w:rsidRPr="00FA7E5C">
        <w:rPr>
          <w:rFonts w:ascii="Times New Roman" w:hAnsi="Times New Roman" w:cs="Times New Roman"/>
          <w:sz w:val="24"/>
          <w:szCs w:val="24"/>
        </w:rPr>
        <w:t xml:space="preserve">. </w:t>
      </w:r>
      <w:r w:rsidRPr="00FA7E5C">
        <w:rPr>
          <w:rFonts w:ascii="Times New Roman" w:hAnsi="Times New Roman" w:cs="Times New Roman"/>
          <w:sz w:val="24"/>
          <w:szCs w:val="24"/>
          <w:u w:val="single"/>
        </w:rPr>
        <w:t xml:space="preserve">También, para impedir que en un momento inicial se tengan en cuenta consideraciones de otra naturaleza sobre aspectos que le corresponden al juez, y no al Fiscal. No le compete al fiscal, al decidir sobre el archivo, hacer consideraciones sobre elementos subjetivos de la conducta ni mucho menos sobre la existencia de causales de exclusión de la responsabilidad. Lo que le compete es efectuar una constatación fáctica sobre presupuestos elementales para abordar cualquier investigación lo que se entiende como el establecimiento de la posible existencia material de un hecho y su carácter aparentemente delictivo. En ese sentido se condicionará la </w:t>
      </w:r>
      <w:proofErr w:type="spellStart"/>
      <w:r w:rsidRPr="00FA7E5C">
        <w:rPr>
          <w:rFonts w:ascii="Times New Roman" w:hAnsi="Times New Roman" w:cs="Times New Roman"/>
          <w:sz w:val="24"/>
          <w:szCs w:val="24"/>
          <w:u w:val="single"/>
        </w:rPr>
        <w:t>exequibilidad</w:t>
      </w:r>
      <w:proofErr w:type="spellEnd"/>
      <w:r w:rsidRPr="00FA7E5C">
        <w:rPr>
          <w:rFonts w:ascii="Times New Roman" w:hAnsi="Times New Roman" w:cs="Times New Roman"/>
          <w:sz w:val="24"/>
          <w:szCs w:val="24"/>
          <w:u w:val="single"/>
        </w:rPr>
        <w:t xml:space="preserve"> de la norma</w:t>
      </w:r>
      <w:proofErr w:type="gramStart"/>
      <w:r w:rsidRPr="00FA7E5C">
        <w:rPr>
          <w:rFonts w:ascii="Times New Roman" w:hAnsi="Times New Roman" w:cs="Times New Roman"/>
          <w:sz w:val="24"/>
          <w:szCs w:val="24"/>
        </w:rPr>
        <w:t>”</w:t>
      </w:r>
      <w:r w:rsidRPr="00FA7E5C">
        <w:rPr>
          <w:rFonts w:ascii="Times New Roman" w:hAnsi="Times New Roman" w:cs="Times New Roman"/>
          <w:sz w:val="24"/>
          <w:szCs w:val="24"/>
          <w:vertAlign w:val="superscript"/>
        </w:rPr>
        <w:t xml:space="preserve"> </w:t>
      </w:r>
      <w:proofErr w:type="gramEnd"/>
      <w:r w:rsidRPr="00FA7E5C">
        <w:rPr>
          <w:rFonts w:ascii="Times New Roman" w:hAnsi="Times New Roman" w:cs="Times New Roman"/>
          <w:sz w:val="24"/>
          <w:szCs w:val="24"/>
          <w:vertAlign w:val="superscript"/>
        </w:rPr>
        <w:footnoteReference w:id="45"/>
      </w:r>
      <w:r w:rsidRPr="00FA7E5C">
        <w:rPr>
          <w:rFonts w:ascii="Times New Roman" w:hAnsi="Times New Roman" w:cs="Times New Roman"/>
          <w:sz w:val="24"/>
          <w:szCs w:val="24"/>
        </w:rPr>
        <w:t xml:space="preserve">. (Subrayado fuera del texto).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Es posible concluir que el fallo de la Corte Constitucional modula la interpretación de la norma demandada por dos razones a saber. La primera, la amplitud de los términos utilizados en la causal de archivo. Y la segunda, impedir que la Fiscalía General de la Nación como sujeto procesal haga valoraciones subjetivas sobre los hechos objeto de investigación que corresponden a los jueces en una instancia procesal posterior. Por lo tanto, el alcance de la sentencia no es obligar al Ente Acusador a investigar todos los hechos de los que tenga conocimiento sin importar si revisten tienen carácter delictivo o no.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En consecuencia la modificación propuesta no contraria el pronunciamiento judicial, por el contrario es un ajuste del mismo. El cambio normativo pretende diferenciar de manera clara los eventos en los que los hechos objeto de investigación no son delictivos y debe archivarse la investigación. Es decir, restringe los términos utilizados en un primer momento por el Código para adoptar la decisión de archivo a los eventos en los cuales es evidente la ausencia de conducta punible.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Además, impide que el fiscal de conocimiento haga valoraciones subjetivas sobre la comisión de la conducta que corresponden al juez de conocimiento al momento del establecimiento de la responsabilidad penal, o sobre la existencia de causales de exclusión </w:t>
      </w:r>
      <w:r w:rsidRPr="00FA7E5C">
        <w:rPr>
          <w:rFonts w:ascii="Times New Roman" w:hAnsi="Times New Roman" w:cs="Times New Roman"/>
          <w:sz w:val="24"/>
          <w:szCs w:val="24"/>
        </w:rPr>
        <w:lastRenderedPageBreak/>
        <w:t xml:space="preserve">de responsabilidad. Solamente lo habilita para constatar la existencia material de un hecho y su carácter delictivo. Si no hay efectiva lesión o puesta en peligro –según corresponda- del bien jurídico tutelado, es imposible demostrar el carácter delictivo de la conducta. No se trata entonces de una valoración subjetiva por parte del fiscal sino de la aplicación de los parámetros normativos que permiten determinar la punibilidad de los hechos.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numPr>
          <w:ilvl w:val="0"/>
          <w:numId w:val="21"/>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La posibilidad de archivar en estos eventos logra hacer efectivo el principio constitucional de proporcionalidad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Incluir como causal de archivo la falta de lesión o puesta en peligro efectiva del bien jurídico tutelado es una manifestación directa del principio de proporcionalidad o </w:t>
      </w:r>
      <w:r w:rsidRPr="00FA7E5C">
        <w:rPr>
          <w:rFonts w:ascii="Times New Roman" w:hAnsi="Times New Roman" w:cs="Times New Roman"/>
          <w:i/>
          <w:sz w:val="24"/>
          <w:szCs w:val="24"/>
        </w:rPr>
        <w:t xml:space="preserve">prohibición de exceso. </w:t>
      </w:r>
      <w:r w:rsidRPr="00FA7E5C">
        <w:rPr>
          <w:rFonts w:ascii="Times New Roman" w:hAnsi="Times New Roman" w:cs="Times New Roman"/>
          <w:sz w:val="24"/>
          <w:szCs w:val="24"/>
        </w:rPr>
        <w:t>De conformidad con los pronunciamientos de la Corte Constitucional</w:t>
      </w:r>
      <w:r w:rsidRPr="00FA7E5C">
        <w:rPr>
          <w:rFonts w:ascii="Times New Roman" w:hAnsi="Times New Roman" w:cs="Times New Roman"/>
          <w:sz w:val="24"/>
          <w:szCs w:val="24"/>
          <w:vertAlign w:val="superscript"/>
        </w:rPr>
        <w:footnoteReference w:id="46"/>
      </w:r>
      <w:r w:rsidRPr="00FA7E5C">
        <w:rPr>
          <w:rFonts w:ascii="Times New Roman" w:hAnsi="Times New Roman" w:cs="Times New Roman"/>
          <w:sz w:val="24"/>
          <w:szCs w:val="24"/>
        </w:rPr>
        <w:t>, este principio constitucional se deduce de la cláusula de Estado social de derecho; los principios de dignidad humana</w:t>
      </w:r>
      <w:r w:rsidRPr="00FA7E5C">
        <w:rPr>
          <w:rFonts w:ascii="Times New Roman" w:hAnsi="Times New Roman" w:cs="Times New Roman"/>
          <w:sz w:val="24"/>
          <w:szCs w:val="24"/>
          <w:vertAlign w:val="superscript"/>
        </w:rPr>
        <w:footnoteReference w:id="47"/>
      </w:r>
      <w:r w:rsidRPr="00FA7E5C">
        <w:rPr>
          <w:rFonts w:ascii="Times New Roman" w:hAnsi="Times New Roman" w:cs="Times New Roman"/>
          <w:sz w:val="24"/>
          <w:szCs w:val="24"/>
        </w:rPr>
        <w:t>, de igualdad</w:t>
      </w:r>
      <w:r w:rsidRPr="00FA7E5C">
        <w:rPr>
          <w:rFonts w:ascii="Times New Roman" w:hAnsi="Times New Roman" w:cs="Times New Roman"/>
          <w:sz w:val="24"/>
          <w:szCs w:val="24"/>
          <w:vertAlign w:val="superscript"/>
        </w:rPr>
        <w:footnoteReference w:id="48"/>
      </w:r>
      <w:r w:rsidRPr="00FA7E5C">
        <w:rPr>
          <w:rFonts w:ascii="Times New Roman" w:hAnsi="Times New Roman" w:cs="Times New Roman"/>
          <w:sz w:val="24"/>
          <w:szCs w:val="24"/>
        </w:rPr>
        <w:t>, y de efectividad de los principios, derechos y deberes consagrados en la Constitución</w:t>
      </w:r>
      <w:r w:rsidRPr="00FA7E5C">
        <w:rPr>
          <w:rFonts w:ascii="Times New Roman" w:hAnsi="Times New Roman" w:cs="Times New Roman"/>
          <w:sz w:val="24"/>
          <w:szCs w:val="24"/>
          <w:vertAlign w:val="superscript"/>
        </w:rPr>
        <w:footnoteReference w:id="49"/>
      </w:r>
      <w:r w:rsidRPr="00FA7E5C">
        <w:rPr>
          <w:rFonts w:ascii="Times New Roman" w:hAnsi="Times New Roman" w:cs="Times New Roman"/>
          <w:sz w:val="24"/>
          <w:szCs w:val="24"/>
        </w:rPr>
        <w:t>; el reconocimiento de los derechos inalienables de la persona</w:t>
      </w:r>
      <w:r w:rsidRPr="00FA7E5C">
        <w:rPr>
          <w:rFonts w:ascii="Times New Roman" w:hAnsi="Times New Roman" w:cs="Times New Roman"/>
          <w:sz w:val="24"/>
          <w:szCs w:val="24"/>
          <w:vertAlign w:val="superscript"/>
        </w:rPr>
        <w:footnoteReference w:id="50"/>
      </w:r>
      <w:r w:rsidRPr="00FA7E5C">
        <w:rPr>
          <w:rFonts w:ascii="Times New Roman" w:hAnsi="Times New Roman" w:cs="Times New Roman"/>
          <w:sz w:val="24"/>
          <w:szCs w:val="24"/>
        </w:rPr>
        <w:t>; la responsabilidad por extralimitación de las funciones públicas</w:t>
      </w:r>
      <w:r w:rsidRPr="00FA7E5C">
        <w:rPr>
          <w:rFonts w:ascii="Times New Roman" w:hAnsi="Times New Roman" w:cs="Times New Roman"/>
          <w:sz w:val="24"/>
          <w:szCs w:val="24"/>
          <w:vertAlign w:val="superscript"/>
        </w:rPr>
        <w:footnoteReference w:id="51"/>
      </w:r>
      <w:r w:rsidRPr="00FA7E5C">
        <w:rPr>
          <w:rFonts w:ascii="Times New Roman" w:hAnsi="Times New Roman" w:cs="Times New Roman"/>
          <w:sz w:val="24"/>
          <w:szCs w:val="24"/>
        </w:rPr>
        <w:t>; la prohibición de la pena de muerte</w:t>
      </w:r>
      <w:r w:rsidRPr="00FA7E5C">
        <w:rPr>
          <w:rFonts w:ascii="Times New Roman" w:hAnsi="Times New Roman" w:cs="Times New Roman"/>
          <w:sz w:val="24"/>
          <w:szCs w:val="24"/>
          <w:vertAlign w:val="superscript"/>
        </w:rPr>
        <w:footnoteReference w:id="52"/>
      </w:r>
      <w:r w:rsidRPr="00FA7E5C">
        <w:rPr>
          <w:rFonts w:ascii="Times New Roman" w:hAnsi="Times New Roman" w:cs="Times New Roman"/>
          <w:sz w:val="24"/>
          <w:szCs w:val="24"/>
        </w:rPr>
        <w:t xml:space="preserve"> y la de tratos o penas crueles, inhumanos o degradantes</w:t>
      </w:r>
      <w:r w:rsidRPr="00FA7E5C">
        <w:rPr>
          <w:rFonts w:ascii="Times New Roman" w:hAnsi="Times New Roman" w:cs="Times New Roman"/>
          <w:sz w:val="24"/>
          <w:szCs w:val="24"/>
          <w:vertAlign w:val="superscript"/>
        </w:rPr>
        <w:footnoteReference w:id="53"/>
      </w:r>
      <w:r w:rsidRPr="00FA7E5C">
        <w:rPr>
          <w:rFonts w:ascii="Times New Roman" w:hAnsi="Times New Roman" w:cs="Times New Roman"/>
          <w:sz w:val="24"/>
          <w:szCs w:val="24"/>
        </w:rPr>
        <w:t>; y del deber de proporcionalidad de las medidas excepcionales</w:t>
      </w:r>
      <w:r w:rsidRPr="00FA7E5C">
        <w:rPr>
          <w:rFonts w:ascii="Times New Roman" w:hAnsi="Times New Roman" w:cs="Times New Roman"/>
          <w:sz w:val="24"/>
          <w:szCs w:val="24"/>
          <w:vertAlign w:val="superscript"/>
        </w:rPr>
        <w:footnoteReference w:id="54"/>
      </w:r>
      <w:r w:rsidRPr="00FA7E5C">
        <w:rPr>
          <w:rFonts w:ascii="Times New Roman" w:hAnsi="Times New Roman" w:cs="Times New Roman"/>
          <w:sz w:val="24"/>
          <w:szCs w:val="24"/>
        </w:rPr>
        <w:t xml:space="preserve">. Este principio constitucional ha sido definido como;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ind w:left="708"/>
        <w:jc w:val="both"/>
        <w:rPr>
          <w:rFonts w:ascii="Times New Roman" w:hAnsi="Times New Roman" w:cs="Times New Roman"/>
          <w:sz w:val="24"/>
          <w:szCs w:val="24"/>
        </w:rPr>
      </w:pPr>
      <w:r w:rsidRPr="00FA7E5C">
        <w:rPr>
          <w:rFonts w:ascii="Times New Roman" w:hAnsi="Times New Roman" w:cs="Times New Roman"/>
          <w:sz w:val="24"/>
          <w:szCs w:val="24"/>
        </w:rPr>
        <w:t xml:space="preserve">“[U]n principio de corrección funcional de toda la actividad estatal que, junto con otros principios de interpretación constitucional –unidad de la Constitución, fuerza normativa, fuerza integradora, concordancia práctica, armonización concreta, inmunidad de los derechos constitucionales e interpretación conforme a la Constitución –, </w:t>
      </w:r>
      <w:r w:rsidRPr="00FA7E5C">
        <w:rPr>
          <w:rFonts w:ascii="Times New Roman" w:hAnsi="Times New Roman" w:cs="Times New Roman"/>
          <w:sz w:val="24"/>
          <w:szCs w:val="24"/>
          <w:u w:val="single"/>
        </w:rPr>
        <w:t>busca asegurar que el poder público, actúe dentro del marco del estado de derecho, sin excederse en el ejercicio de sus funciones</w:t>
      </w:r>
      <w:r w:rsidRPr="00FA7E5C">
        <w:rPr>
          <w:rFonts w:ascii="Times New Roman" w:hAnsi="Times New Roman" w:cs="Times New Roman"/>
          <w:sz w:val="24"/>
          <w:szCs w:val="24"/>
        </w:rPr>
        <w:t>. Su fundamento normativo último está dado por los principios fundamentales de Estado de Derecho (artículo 1 CP.), fuerza normativa de la Constitución (artículo 4 CP.) y carácter inalienable de los derechos de la persona humana (artículo 5 CP.)”</w:t>
      </w:r>
      <w:r w:rsidRPr="00FA7E5C">
        <w:rPr>
          <w:rFonts w:ascii="Times New Roman" w:hAnsi="Times New Roman" w:cs="Times New Roman"/>
          <w:sz w:val="24"/>
          <w:szCs w:val="24"/>
          <w:vertAlign w:val="superscript"/>
        </w:rPr>
        <w:footnoteReference w:id="55"/>
      </w:r>
      <w:r w:rsidRPr="00FA7E5C">
        <w:rPr>
          <w:rFonts w:ascii="Times New Roman" w:hAnsi="Times New Roman" w:cs="Times New Roman"/>
          <w:sz w:val="24"/>
          <w:szCs w:val="24"/>
        </w:rPr>
        <w:t xml:space="preserve">. (Subrayado fuera del texto).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En virtud de este principio constitucional “la responsabilidad de los particulares por la infracción a las leyes, especialmente las penales, requiere la verificación de un daño efectivo a los bienes jurídicos protegidos y no la simple valoración de una intención que se juzga lesiva, solo esta última condición justifica la restricción de los derechos y libertades, que gozan igualmente de protección constitucional”</w:t>
      </w:r>
      <w:r w:rsidRPr="00FA7E5C">
        <w:rPr>
          <w:rFonts w:ascii="Times New Roman" w:hAnsi="Times New Roman" w:cs="Times New Roman"/>
          <w:sz w:val="24"/>
          <w:szCs w:val="24"/>
          <w:vertAlign w:val="superscript"/>
        </w:rPr>
        <w:footnoteReference w:id="56"/>
      </w:r>
      <w:r w:rsidRPr="00FA7E5C">
        <w:rPr>
          <w:rFonts w:ascii="Times New Roman" w:hAnsi="Times New Roman" w:cs="Times New Roman"/>
          <w:sz w:val="24"/>
          <w:szCs w:val="24"/>
        </w:rPr>
        <w:t xml:space="preserve">. Lo anterior toda vez que “solo la </w:t>
      </w:r>
      <w:r w:rsidRPr="00FA7E5C">
        <w:rPr>
          <w:rFonts w:ascii="Times New Roman" w:hAnsi="Times New Roman" w:cs="Times New Roman"/>
          <w:sz w:val="24"/>
          <w:szCs w:val="24"/>
        </w:rPr>
        <w:lastRenderedPageBreak/>
        <w:t>protección de bienes jurídicos realmente amenazados justifica la restricción de derechos fundamentales como la libertad personal”</w:t>
      </w:r>
      <w:r w:rsidRPr="00FA7E5C">
        <w:rPr>
          <w:rFonts w:ascii="Times New Roman" w:hAnsi="Times New Roman" w:cs="Times New Roman"/>
          <w:sz w:val="24"/>
          <w:szCs w:val="24"/>
          <w:vertAlign w:val="superscript"/>
        </w:rPr>
        <w:footnoteReference w:id="57"/>
      </w:r>
      <w:r w:rsidRPr="00FA7E5C">
        <w:rPr>
          <w:rFonts w:ascii="Times New Roman" w:hAnsi="Times New Roman" w:cs="Times New Roman"/>
          <w:sz w:val="24"/>
          <w:szCs w:val="24"/>
        </w:rPr>
        <w:t>.</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La posibilidad de archivar aquellas investigaciones que iniciaron por la posible comisión de una conducta punible, pero fue verificada la ausencia de uno de sus elementos como lo es la efectiva lesión o puesta en peligro del bien jurídico tutelado permite aplicar el principio de proporcionalidad, en tanto, evita la restricción de derechos fundamentales de las personas investigadas sin contar con un fin proporcional.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En este punto es necesario poner de presente que el uso del derecho penal no solo afecta  derechos fundamentales cuando es impuesta una medida de detención preventiva o una pena privativa de la libertad. El proceso penal en sí mismo conlleva afectaciones a otros derechos fundamentales de las personas investigadas desde el momento en que inicia como el derecho al buen nombre. Restringir este tipo de derechos fundamentales sin tener un bien jurídico tutelado efectivamente lesionado o puesto en peligro, resulta un exceso en el uso de las facultades constitucionales de la Fiscalía General de la Nación.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Lo anterior, adquiere una mayor relevancia al tener en cuenta que el uso del derecho penal en la actualidad genera una serie de “etiquetas” en las personas que son investigadas por determinadas conductas sin importar la efectiva lesión de los bienes jurídicos tutelados. Esta situación implica una especie de </w:t>
      </w:r>
      <w:r w:rsidRPr="00FA7E5C">
        <w:rPr>
          <w:rFonts w:ascii="Times New Roman" w:hAnsi="Times New Roman" w:cs="Times New Roman"/>
          <w:i/>
          <w:sz w:val="24"/>
          <w:szCs w:val="24"/>
        </w:rPr>
        <w:t>criminalización social</w:t>
      </w:r>
      <w:r w:rsidRPr="00FA7E5C">
        <w:rPr>
          <w:rFonts w:ascii="Times New Roman" w:hAnsi="Times New Roman" w:cs="Times New Roman"/>
          <w:sz w:val="24"/>
          <w:szCs w:val="24"/>
        </w:rPr>
        <w:t xml:space="preserve"> de determinadas conductas, en la que los grupos poblacionales más vulnerables tienen sanciones más fuertes al interior de la sociedad, provocadas por el proceso penal en sí mismo</w:t>
      </w:r>
      <w:r w:rsidRPr="00FA7E5C">
        <w:rPr>
          <w:rFonts w:ascii="Times New Roman" w:hAnsi="Times New Roman" w:cs="Times New Roman"/>
          <w:sz w:val="24"/>
          <w:szCs w:val="24"/>
          <w:vertAlign w:val="superscript"/>
        </w:rPr>
        <w:footnoteReference w:id="58"/>
      </w:r>
      <w:r w:rsidRPr="00FA7E5C">
        <w:rPr>
          <w:rFonts w:ascii="Times New Roman" w:hAnsi="Times New Roman" w:cs="Times New Roman"/>
          <w:sz w:val="24"/>
          <w:szCs w:val="24"/>
        </w:rPr>
        <w:t>. Estos efectos, aunque son imposibles de calcular en abstracto, implican una mayor afectación y restricción de derechos fundamentales que las mismas medidas de aseguramiento o penas que puedan imponerse en transcurso del juicio</w:t>
      </w:r>
      <w:r w:rsidRPr="00FA7E5C">
        <w:rPr>
          <w:rFonts w:ascii="Times New Roman" w:hAnsi="Times New Roman" w:cs="Times New Roman"/>
          <w:sz w:val="24"/>
          <w:szCs w:val="24"/>
          <w:vertAlign w:val="superscript"/>
        </w:rPr>
        <w:footnoteReference w:id="59"/>
      </w:r>
      <w:r w:rsidRPr="00FA7E5C">
        <w:rPr>
          <w:rFonts w:ascii="Times New Roman" w:hAnsi="Times New Roman" w:cs="Times New Roman"/>
          <w:sz w:val="24"/>
          <w:szCs w:val="24"/>
        </w:rPr>
        <w:t xml:space="preserve">. En consecuencia, permitir el archivo de las diligencias </w:t>
      </w:r>
      <w:r w:rsidRPr="00FA7E5C">
        <w:rPr>
          <w:rFonts w:ascii="Times New Roman" w:hAnsi="Times New Roman" w:cs="Times New Roman"/>
          <w:sz w:val="24"/>
          <w:szCs w:val="24"/>
        </w:rPr>
        <w:lastRenderedPageBreak/>
        <w:t xml:space="preserve">en los eventos señalados por la propuesta permite que el uso del poder punitivo del Estado sea proporcional a los daños efectivamente causados y no una herramienta de exclusión de determinados grupos poblacionales.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numPr>
          <w:ilvl w:val="0"/>
          <w:numId w:val="21"/>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Esta propuesta normativa no representa una posible vulneración de los derechos de las víctimas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Para finalizar es necesario señalar que esta inclusión no representa una vulneración de los derechos a la verdad, la justicia, la reparación integral y las garantías de no repetición de las víctimas, por varias razones, a saber. En primer lugar, porque el fundamento para no continuar con la investigación es que los hechos objeto de investigación no revisten las características de delito. En consecuencia, no habría lugar a declarar la responsabilidad penal de las personas investigadas. Además, en caso de considerar que si existe la conducta punible éstas pueden aportar nuevos elementos materiales probatorios y/o evidencia física que determinen la efectiva lesión del bien jurídico tutelado, caso en el cual la Fiscalía deberá retomar sus deberes de investigación.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117056" w:rsidP="00117056">
      <w:pPr>
        <w:spacing w:after="0" w:line="240" w:lineRule="auto"/>
        <w:jc w:val="both"/>
        <w:rPr>
          <w:rFonts w:ascii="Times New Roman" w:hAnsi="Times New Roman" w:cs="Times New Roman"/>
          <w:b/>
          <w:sz w:val="24"/>
          <w:szCs w:val="24"/>
        </w:rPr>
      </w:pPr>
      <w:r w:rsidRPr="00FA7E5C">
        <w:rPr>
          <w:rFonts w:ascii="Times New Roman" w:hAnsi="Times New Roman" w:cs="Times New Roman"/>
          <w:sz w:val="24"/>
          <w:szCs w:val="24"/>
        </w:rPr>
        <w:t>Otra de las razones por la que no hay afectación de los derechos de las víctimas es que la decisión no tiene efectos de cosa juzgada absoluta, sino relativa. Esto significa que la decisión del fiscal de conocimiento puede ser revisada de manera tal que sus efectos sean levantados. Y en materia de reparación, la víctima puede acudir a los mecanismos de reparación de daños de la legislación civil sin importar que la actuación penal haya concluido con una decisión de archivo. Será el juez civil el encargado de determinar si a pesar de la ausencia de la sanción penal, a la víctima le corresponde una reparación por los hechos que puso en conocimiento de la Fiscalía General de la Nación.</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D319AC">
      <w:pPr>
        <w:numPr>
          <w:ilvl w:val="0"/>
          <w:numId w:val="1"/>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EL AJUSTE PROPUESTO AL RÉGIMEN DE MEDIDAS DE ASEGURAMIENTO PRIVATIVAS DE LA LIBERTAD PRETENDE INCLUIR CRITERIOS DE PLAZO RAZONABLE PARA LA DURACIÓN TANTO DE LOS PROCESOS COMO DE LAS MEDIDAS</w:t>
      </w:r>
    </w:p>
    <w:p w:rsidR="00117056" w:rsidRPr="00FA7E5C" w:rsidRDefault="00117056" w:rsidP="00117056">
      <w:pPr>
        <w:spacing w:after="0" w:line="240" w:lineRule="auto"/>
        <w:rPr>
          <w:rFonts w:ascii="Times New Roman" w:hAnsi="Times New Roman" w:cs="Times New Roman"/>
          <w:b/>
          <w:sz w:val="24"/>
          <w:szCs w:val="24"/>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En el Capítulo III del Título IV del Código de Procedimiento Penal el legislador reglamentó las medidas de aseguramiento como medios para garantizar la efectividad del proceso penal. Con posterioridad se advirtió la necesidad de implementar nuevas políticas en materia de medidas de aseguramiento privativas de la libertad, entre otros, para proteger los derechos de las personas a las que se les va a imponer una medida de aseguramiento privativa de la libertad</w:t>
      </w:r>
      <w:r w:rsidRPr="00FA7E5C">
        <w:rPr>
          <w:rFonts w:ascii="Times New Roman" w:hAnsi="Times New Roman" w:cs="Times New Roman"/>
          <w:sz w:val="24"/>
          <w:szCs w:val="24"/>
          <w:vertAlign w:val="superscript"/>
          <w:lang w:val="es-ES"/>
        </w:rPr>
        <w:footnoteReference w:id="60"/>
      </w:r>
      <w:r w:rsidRPr="00FA7E5C">
        <w:rPr>
          <w:rFonts w:ascii="Times New Roman" w:hAnsi="Times New Roman" w:cs="Times New Roman"/>
          <w:sz w:val="24"/>
          <w:szCs w:val="24"/>
          <w:lang w:val="es-ES"/>
        </w:rPr>
        <w:t xml:space="preserve">. En atención a esta necesidad se profirió la Ley 1760 de 2015 </w:t>
      </w:r>
      <w:r w:rsidRPr="00FA7E5C">
        <w:rPr>
          <w:rFonts w:ascii="Times New Roman" w:hAnsi="Times New Roman" w:cs="Times New Roman"/>
          <w:i/>
          <w:sz w:val="24"/>
          <w:szCs w:val="24"/>
          <w:lang w:val="es-ES"/>
        </w:rPr>
        <w:t>“por medio de la cual se modifica parcialmente la ley 906 de 2004 en relación con las medidas de aseguramiento privativas de la libertad”</w:t>
      </w:r>
      <w:r w:rsidRPr="00FA7E5C">
        <w:rPr>
          <w:rFonts w:ascii="Times New Roman" w:hAnsi="Times New Roman" w:cs="Times New Roman"/>
          <w:sz w:val="24"/>
          <w:szCs w:val="24"/>
          <w:lang w:val="es-ES"/>
        </w:rPr>
        <w:t xml:space="preserve"> que fue modificada por la Ley 1786 de 2016</w:t>
      </w:r>
      <w:r w:rsidRPr="00FA7E5C">
        <w:rPr>
          <w:rFonts w:ascii="Times New Roman" w:hAnsi="Times New Roman" w:cs="Times New Roman"/>
          <w:sz w:val="24"/>
          <w:szCs w:val="24"/>
          <w:vertAlign w:val="superscript"/>
          <w:lang w:val="es-ES"/>
        </w:rPr>
        <w:footnoteReference w:id="61"/>
      </w:r>
      <w:r w:rsidRPr="00FA7E5C">
        <w:rPr>
          <w:rFonts w:ascii="Times New Roman" w:hAnsi="Times New Roman" w:cs="Times New Roman"/>
          <w:sz w:val="24"/>
          <w:szCs w:val="24"/>
          <w:lang w:val="es-ES"/>
        </w:rPr>
        <w:t xml:space="preserve">.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La propuesta legislativa que se presenta al Congreso de la República pretende modificar de nuevo el régimen de medidas de aseguramiento privativas de la libertad en relación al </w:t>
      </w:r>
      <w:r w:rsidRPr="00FA7E5C">
        <w:rPr>
          <w:rFonts w:ascii="Times New Roman" w:hAnsi="Times New Roman" w:cs="Times New Roman"/>
          <w:sz w:val="24"/>
          <w:szCs w:val="24"/>
          <w:lang w:val="es-ES"/>
        </w:rPr>
        <w:lastRenderedPageBreak/>
        <w:t xml:space="preserve">término de su duración. Por ello en este acápite se hará una presentación de las distintas formas en que se ha regulado el término de duración de las medidas de aseguramiento privativas de la libertad. En primer lugar, se hará referencia a lo que disponía el Código de Procedimiento Penal, luego a los cambios que introdujo la Ley 1760 de 2015, y por último, se explicaran las modificaciones de la Ley 1786 de 2016.  Finalmente, se hará referencia a la modificación que se plantea argumentando su necesidad.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17"/>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Las distintas formas en que se ha regulado el término de la duración de las medidas de aseguramiento</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25"/>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La regulación del Código de Procedimiento Penal</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El </w:t>
      </w:r>
      <w:proofErr w:type="spellStart"/>
      <w:r w:rsidRPr="00FA7E5C">
        <w:rPr>
          <w:rFonts w:ascii="Times New Roman" w:hAnsi="Times New Roman" w:cs="Times New Roman"/>
          <w:sz w:val="24"/>
          <w:szCs w:val="24"/>
          <w:lang w:val="es-ES"/>
        </w:rPr>
        <w:t>CPP</w:t>
      </w:r>
      <w:proofErr w:type="spellEnd"/>
      <w:r w:rsidRPr="00FA7E5C">
        <w:rPr>
          <w:rFonts w:ascii="Times New Roman" w:hAnsi="Times New Roman" w:cs="Times New Roman"/>
          <w:sz w:val="24"/>
          <w:szCs w:val="24"/>
          <w:lang w:val="es-ES"/>
        </w:rPr>
        <w:t xml:space="preserve"> no estableció un término objetivo de duración para la detención preventiva aplicable. La norma dispuso que la medida que se impusiera </w:t>
      </w:r>
      <w:proofErr w:type="gramStart"/>
      <w:r w:rsidRPr="00FA7E5C">
        <w:rPr>
          <w:rFonts w:ascii="Times New Roman" w:hAnsi="Times New Roman" w:cs="Times New Roman"/>
          <w:sz w:val="24"/>
          <w:szCs w:val="24"/>
          <w:lang w:val="es-ES"/>
        </w:rPr>
        <w:t>debía</w:t>
      </w:r>
      <w:proofErr w:type="gramEnd"/>
      <w:r w:rsidRPr="00FA7E5C">
        <w:rPr>
          <w:rFonts w:ascii="Times New Roman" w:hAnsi="Times New Roman" w:cs="Times New Roman"/>
          <w:sz w:val="24"/>
          <w:szCs w:val="24"/>
          <w:lang w:val="es-ES"/>
        </w:rPr>
        <w:t xml:space="preserve"> tener vigencia durante toda la actuación, es decir, su duración se determinaba en cada caso concreto según la duración del proceso. Además, estableció cuáles son los fines constitucionales que se deben perseguir para imponerla y/o mantenerla según corresponda en cada proceso. </w:t>
      </w:r>
    </w:p>
    <w:p w:rsidR="00CF7242" w:rsidRPr="00FA7E5C" w:rsidRDefault="00CF7242" w:rsidP="00CF7242">
      <w:pPr>
        <w:spacing w:after="0" w:line="240" w:lineRule="auto"/>
        <w:jc w:val="both"/>
        <w:rPr>
          <w:rFonts w:ascii="Times New Roman" w:hAnsi="Times New Roman" w:cs="Times New Roman"/>
          <w:b/>
          <w:sz w:val="24"/>
          <w:szCs w:val="24"/>
          <w:lang w:val="es-ES"/>
        </w:rPr>
      </w:pPr>
    </w:p>
    <w:p w:rsidR="00CF7242" w:rsidRPr="00FA7E5C" w:rsidRDefault="00CF7242" w:rsidP="00CF7242">
      <w:pPr>
        <w:pStyle w:val="Prrafodelista"/>
        <w:numPr>
          <w:ilvl w:val="0"/>
          <w:numId w:val="25"/>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La modificación de la Ley 1760 de 2015</w:t>
      </w:r>
    </w:p>
    <w:p w:rsidR="00CF7242" w:rsidRPr="00FA7E5C" w:rsidRDefault="00CF7242" w:rsidP="00CF7242">
      <w:pPr>
        <w:pStyle w:val="Prrafodelista"/>
        <w:spacing w:after="0" w:line="240" w:lineRule="auto"/>
        <w:jc w:val="both"/>
        <w:rPr>
          <w:rFonts w:ascii="Times New Roman" w:hAnsi="Times New Roman" w:cs="Times New Roman"/>
          <w:b/>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En el año 2015 se determinó la necesidad de establecer una nueva política en materia de medidas de aseguramiento privativas de la libertad. Esta nueva política fue introducida por la Ley 1760 de 2015.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La nueva regulación, que modificó el artículo 307 del </w:t>
      </w:r>
      <w:proofErr w:type="spellStart"/>
      <w:r w:rsidRPr="00FA7E5C">
        <w:rPr>
          <w:rFonts w:ascii="Times New Roman" w:hAnsi="Times New Roman" w:cs="Times New Roman"/>
          <w:sz w:val="24"/>
          <w:szCs w:val="24"/>
          <w:lang w:val="es-ES"/>
        </w:rPr>
        <w:t>CPP</w:t>
      </w:r>
      <w:proofErr w:type="spellEnd"/>
      <w:r w:rsidRPr="00FA7E5C">
        <w:rPr>
          <w:rFonts w:ascii="Times New Roman" w:hAnsi="Times New Roman" w:cs="Times New Roman"/>
          <w:sz w:val="24"/>
          <w:szCs w:val="24"/>
          <w:lang w:val="es-ES"/>
        </w:rPr>
        <w:t>, dispuso un término máximo de las medidas de aseguramiento privativas de la libertad. Concretamente, el artículo 1 de esta Ley estableció que, a excepción de lo previsto en los parágrafo 2 y 3 del artículo 317 de la Ley 906 de 2004</w:t>
      </w:r>
      <w:r w:rsidRPr="00FA7E5C">
        <w:rPr>
          <w:rFonts w:ascii="Times New Roman" w:hAnsi="Times New Roman" w:cs="Times New Roman"/>
          <w:sz w:val="24"/>
          <w:szCs w:val="24"/>
          <w:vertAlign w:val="superscript"/>
          <w:lang w:val="es-ES"/>
        </w:rPr>
        <w:footnoteReference w:id="62"/>
      </w:r>
      <w:r w:rsidRPr="00FA7E5C">
        <w:rPr>
          <w:rFonts w:ascii="Times New Roman" w:hAnsi="Times New Roman" w:cs="Times New Roman"/>
          <w:sz w:val="24"/>
          <w:szCs w:val="24"/>
          <w:lang w:val="es-ES"/>
        </w:rPr>
        <w:t>, el término de esas medidas preventivas no podría exceder de un año. Además estableció que dicho término se podría prorrogar una vez por la duración prevista inicialmente, en aquellos procesos que (i) se tramitan para juzgar a tres (3) o más acusados, (</w:t>
      </w:r>
      <w:proofErr w:type="spellStart"/>
      <w:r w:rsidRPr="00FA7E5C">
        <w:rPr>
          <w:rFonts w:ascii="Times New Roman" w:hAnsi="Times New Roman" w:cs="Times New Roman"/>
          <w:sz w:val="24"/>
          <w:szCs w:val="24"/>
          <w:lang w:val="es-ES"/>
        </w:rPr>
        <w:t>ii</w:t>
      </w:r>
      <w:proofErr w:type="spellEnd"/>
      <w:r w:rsidRPr="00FA7E5C">
        <w:rPr>
          <w:rFonts w:ascii="Times New Roman" w:hAnsi="Times New Roman" w:cs="Times New Roman"/>
          <w:sz w:val="24"/>
          <w:szCs w:val="24"/>
          <w:lang w:val="es-ES"/>
        </w:rPr>
        <w:t>) se adelantan ante la justicia penal especializada o (</w:t>
      </w:r>
      <w:proofErr w:type="spellStart"/>
      <w:r w:rsidRPr="00FA7E5C">
        <w:rPr>
          <w:rFonts w:ascii="Times New Roman" w:hAnsi="Times New Roman" w:cs="Times New Roman"/>
          <w:sz w:val="24"/>
          <w:szCs w:val="24"/>
          <w:lang w:val="es-ES"/>
        </w:rPr>
        <w:t>iii</w:t>
      </w:r>
      <w:proofErr w:type="spellEnd"/>
      <w:r w:rsidRPr="00FA7E5C">
        <w:rPr>
          <w:rFonts w:ascii="Times New Roman" w:hAnsi="Times New Roman" w:cs="Times New Roman"/>
          <w:sz w:val="24"/>
          <w:szCs w:val="24"/>
          <w:lang w:val="es-ES"/>
        </w:rPr>
        <w:t>) están relacionados con los actos de corrupción a los que hace referencia la Ley 1474 de 2011. Una vez vencido el término máximo previsto en la ley, tanto el fiscal como el apoderado de la víctima, podrían solicitar la sustitución de la medida privativa de la libertad por otra de las que se encuentran consagradas en el artículo 307 de la Ley 906 de 2004</w:t>
      </w:r>
      <w:r w:rsidRPr="00FA7E5C">
        <w:rPr>
          <w:rFonts w:ascii="Times New Roman" w:hAnsi="Times New Roman" w:cs="Times New Roman"/>
          <w:sz w:val="24"/>
          <w:szCs w:val="24"/>
          <w:vertAlign w:val="superscript"/>
          <w:lang w:val="es-ES"/>
        </w:rPr>
        <w:footnoteReference w:id="63"/>
      </w:r>
      <w:r w:rsidRPr="00FA7E5C">
        <w:rPr>
          <w:rFonts w:ascii="Times New Roman" w:hAnsi="Times New Roman" w:cs="Times New Roman"/>
          <w:sz w:val="24"/>
          <w:szCs w:val="24"/>
          <w:lang w:val="es-ES"/>
        </w:rPr>
        <w:t>.</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De igual forma, la norma mantiene las finalidades constitucionales que se deben acreditar para la imposición de las medidas de aseguramiento, determinó la forma en que se debe </w:t>
      </w:r>
      <w:r w:rsidRPr="00FA7E5C">
        <w:rPr>
          <w:rFonts w:ascii="Times New Roman" w:hAnsi="Times New Roman" w:cs="Times New Roman"/>
          <w:sz w:val="24"/>
          <w:szCs w:val="24"/>
          <w:lang w:val="es-ES"/>
        </w:rPr>
        <w:lastRenderedPageBreak/>
        <w:t>corroborar que se configura alguna de las causales normativas para decretar la medida</w:t>
      </w:r>
      <w:r w:rsidRPr="00FA7E5C">
        <w:rPr>
          <w:rFonts w:ascii="Times New Roman" w:hAnsi="Times New Roman" w:cs="Times New Roman"/>
          <w:sz w:val="24"/>
          <w:szCs w:val="24"/>
          <w:vertAlign w:val="superscript"/>
          <w:lang w:val="es-ES"/>
        </w:rPr>
        <w:footnoteReference w:id="64"/>
      </w:r>
      <w:r w:rsidRPr="00FA7E5C">
        <w:rPr>
          <w:rFonts w:ascii="Times New Roman" w:hAnsi="Times New Roman" w:cs="Times New Roman"/>
          <w:sz w:val="24"/>
          <w:szCs w:val="24"/>
          <w:lang w:val="es-ES"/>
        </w:rPr>
        <w:t xml:space="preserve">, e introdujo nuevas causales para decretar la libertad. La norma señaló de forma clara que la medida privativa de la libertad se debe mantener hasta que termine el proceso, siempre que no se extienda por un término superior al previsto por para todos los procesos, así: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ind w:left="708"/>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“Las medidas de aseguramiento indicadas en los anteriores artículos tendrán vigencia durante toda la actuación, sin perjuicio de lo establecido en el parágrafo 10 del artículo 307 del presente código sobre las medidas de aseguramiento privativas de la libertad”</w:t>
      </w:r>
      <w:r w:rsidRPr="00FA7E5C">
        <w:rPr>
          <w:rFonts w:ascii="Times New Roman" w:hAnsi="Times New Roman" w:cs="Times New Roman"/>
          <w:sz w:val="24"/>
          <w:szCs w:val="24"/>
          <w:vertAlign w:val="superscript"/>
          <w:lang w:val="es-ES"/>
        </w:rPr>
        <w:footnoteReference w:id="65"/>
      </w:r>
      <w:r w:rsidRPr="00FA7E5C">
        <w:rPr>
          <w:rFonts w:ascii="Times New Roman" w:hAnsi="Times New Roman" w:cs="Times New Roman"/>
          <w:sz w:val="24"/>
          <w:szCs w:val="24"/>
          <w:lang w:val="es-ES"/>
        </w:rPr>
        <w:t xml:space="preserve">.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En materia de vigencia se dispuso que el artículo 1 y el numeral 6 del artículo 4 de la ley </w:t>
      </w:r>
      <w:proofErr w:type="gramStart"/>
      <w:r w:rsidRPr="00FA7E5C">
        <w:rPr>
          <w:rFonts w:ascii="Times New Roman" w:hAnsi="Times New Roman" w:cs="Times New Roman"/>
          <w:sz w:val="24"/>
          <w:szCs w:val="24"/>
          <w:lang w:val="es-ES"/>
        </w:rPr>
        <w:t>entrarían</w:t>
      </w:r>
      <w:proofErr w:type="gramEnd"/>
      <w:r w:rsidRPr="00FA7E5C">
        <w:rPr>
          <w:rFonts w:ascii="Times New Roman" w:hAnsi="Times New Roman" w:cs="Times New Roman"/>
          <w:sz w:val="24"/>
          <w:szCs w:val="24"/>
          <w:lang w:val="es-ES"/>
        </w:rPr>
        <w:t xml:space="preserve"> a regir un (1) año después de la promulgación de la ley</w:t>
      </w:r>
      <w:r w:rsidRPr="00FA7E5C">
        <w:rPr>
          <w:rFonts w:ascii="Times New Roman" w:hAnsi="Times New Roman" w:cs="Times New Roman"/>
          <w:sz w:val="24"/>
          <w:szCs w:val="24"/>
          <w:vertAlign w:val="superscript"/>
          <w:lang w:val="es-ES"/>
        </w:rPr>
        <w:footnoteReference w:id="66"/>
      </w:r>
      <w:r w:rsidRPr="00FA7E5C">
        <w:rPr>
          <w:rFonts w:ascii="Times New Roman" w:hAnsi="Times New Roman" w:cs="Times New Roman"/>
          <w:sz w:val="24"/>
          <w:szCs w:val="24"/>
          <w:lang w:val="es-ES"/>
        </w:rPr>
        <w:t xml:space="preserve">. El artículo primero es el que establece el término máximo de duración de la medida y la norma fue promulgada el 6 de julio de 2015. Esto significa que dicha disposición entraba a regir el 6 de julio de 2016.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25"/>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Los cambios de la Ley 1786 de 2016</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Antes de la entrada en vigencia del artículo 1 de la Ley 1760 de 2015, éste fue modificado por la Ley 1786 de 2016 que se promulgó el 1 de julio de 2016. Esta nueva regulación incluyó a los delitos que se encuentran consagrados en el Título IV del Libro Segundo de la Ley 599 de 2000 –Código Penal-, como casos en los que procede la prórroga de la duración de la medida un vez y por un término igual al inicialmente previsto. Es decir, dispuso que en los procesos que se adelantan por delitos contra la libertad, integridad y formación sexual, </w:t>
      </w:r>
      <w:proofErr w:type="gramStart"/>
      <w:r w:rsidRPr="00FA7E5C">
        <w:rPr>
          <w:rFonts w:ascii="Times New Roman" w:hAnsi="Times New Roman" w:cs="Times New Roman"/>
          <w:sz w:val="24"/>
          <w:szCs w:val="24"/>
          <w:lang w:val="es-ES"/>
        </w:rPr>
        <w:t>es</w:t>
      </w:r>
      <w:proofErr w:type="gramEnd"/>
      <w:r w:rsidRPr="00FA7E5C">
        <w:rPr>
          <w:rFonts w:ascii="Times New Roman" w:hAnsi="Times New Roman" w:cs="Times New Roman"/>
          <w:sz w:val="24"/>
          <w:szCs w:val="24"/>
          <w:lang w:val="es-ES"/>
        </w:rPr>
        <w:t xml:space="preserve"> posible solicitar que se prorrogue el término previsto inicialmente.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Además, señaló que el tiempo que transcurra en el proceso por el uso maniobras dilatorias del proceso no será contabilizado para establecer si la medida privativa de la libertad excedió o no el término máximo de duración. También otorgó a la defensa la facultad de solicitar la sustitución de la medida privativa.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Sobre su vigencia precisa que sus disposiciones empiezan a regir desde su promulgación y deroga toda norma que se le sea contraria. No obstante lo anterior, manifiesta que: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ind w:left="360"/>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“Los términos a los que hacen referencia el artículo 1° y el numeral 6 del artículo 2° de la presente ley, respecto de procesos ante justicia penal especializada, en los que sean tres (3) o más los acusados contra quienes estuviere vigente la detención preventiva, o cuando se trate de investigación o juicio de actos de corrupción de los que trata la Ley 1474 de 2011 o de cualquier de las conductas previstas en el Título IV del Libro Segundo de la Ley 599 de 2000 (Código Penal), </w:t>
      </w:r>
      <w:r w:rsidRPr="00FA7E5C">
        <w:rPr>
          <w:rFonts w:ascii="Times New Roman" w:hAnsi="Times New Roman" w:cs="Times New Roman"/>
          <w:b/>
          <w:sz w:val="24"/>
          <w:szCs w:val="24"/>
          <w:lang w:val="es-ES"/>
        </w:rPr>
        <w:t>entrarán a regir en un (1) año contado a partir de la fecha de su promulgación</w:t>
      </w:r>
      <w:r w:rsidRPr="00FA7E5C">
        <w:rPr>
          <w:rFonts w:ascii="Times New Roman" w:hAnsi="Times New Roman" w:cs="Times New Roman"/>
          <w:sz w:val="24"/>
          <w:szCs w:val="24"/>
          <w:lang w:val="es-ES"/>
        </w:rPr>
        <w:t>”</w:t>
      </w:r>
      <w:r w:rsidRPr="00FA7E5C">
        <w:rPr>
          <w:rFonts w:ascii="Times New Roman" w:hAnsi="Times New Roman" w:cs="Times New Roman"/>
          <w:sz w:val="24"/>
          <w:szCs w:val="24"/>
          <w:vertAlign w:val="superscript"/>
          <w:lang w:val="es-ES"/>
        </w:rPr>
        <w:footnoteReference w:id="67"/>
      </w:r>
      <w:r w:rsidRPr="00FA7E5C">
        <w:rPr>
          <w:rFonts w:ascii="Times New Roman" w:hAnsi="Times New Roman" w:cs="Times New Roman"/>
          <w:sz w:val="24"/>
          <w:szCs w:val="24"/>
          <w:lang w:val="es-ES"/>
        </w:rPr>
        <w:t xml:space="preserve"> (negrilla fuera del texto).</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lastRenderedPageBreak/>
        <w:t xml:space="preserve">Por lo anterior, para los casos excepcionales en los que procede prorroga las causales de libertad por exceder el término máximo de la medida privativa de la libertad y aquel previsto para celebrar el juicio, entraron en vigencia el 1 de julio del año 2017.  </w:t>
      </w:r>
    </w:p>
    <w:p w:rsidR="00CF7242" w:rsidRPr="00FA7E5C" w:rsidRDefault="00CF7242" w:rsidP="00CF7242">
      <w:pPr>
        <w:spacing w:after="0" w:line="240" w:lineRule="auto"/>
        <w:jc w:val="both"/>
        <w:rPr>
          <w:rFonts w:ascii="Times New Roman" w:hAnsi="Times New Roman" w:cs="Times New Roman"/>
          <w:b/>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De lo expuesto se concluye que en la actualidad las medidas de aseguramiento privativas de la libertad no pueden exceder de un (1) año, salvo en los casos en que, por disposición legal, se puede prorrogar una sola vez por el término inicialmente previsto.  Sin embargo, para los casos en que es posible solicitar la prórroga de la medida esta disposición entrará en vigencia el 1 de julio de 2017.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rPr>
        <w:t xml:space="preserve">B. </w:t>
      </w:r>
      <w:r w:rsidRPr="00FA7E5C">
        <w:rPr>
          <w:rFonts w:ascii="Times New Roman" w:hAnsi="Times New Roman" w:cs="Times New Roman"/>
          <w:b/>
          <w:sz w:val="24"/>
          <w:szCs w:val="24"/>
          <w:lang w:val="es-ES"/>
        </w:rPr>
        <w:t>Modificación planteada con respecto a las medidas de aseguramiento</w:t>
      </w:r>
    </w:p>
    <w:p w:rsidR="00CF7242" w:rsidRPr="00FA7E5C" w:rsidRDefault="00CF7242" w:rsidP="00CF7242">
      <w:pPr>
        <w:spacing w:after="0" w:line="240" w:lineRule="auto"/>
        <w:jc w:val="both"/>
        <w:rPr>
          <w:rFonts w:ascii="Times New Roman" w:hAnsi="Times New Roman" w:cs="Times New Roman"/>
          <w:b/>
          <w:sz w:val="24"/>
          <w:szCs w:val="24"/>
          <w:lang w:val="es-ES"/>
        </w:rPr>
      </w:pPr>
    </w:p>
    <w:p w:rsidR="00CF7242" w:rsidRPr="00FA7E5C" w:rsidRDefault="00CF7242" w:rsidP="00CF7242">
      <w:pPr>
        <w:rPr>
          <w:rFonts w:ascii="Times New Roman" w:eastAsia="Times New Roman" w:hAnsi="Times New Roman" w:cs="Times New Roman"/>
          <w:sz w:val="24"/>
          <w:szCs w:val="24"/>
        </w:rPr>
      </w:pPr>
      <w:r w:rsidRPr="00FA7E5C">
        <w:rPr>
          <w:rFonts w:ascii="Times New Roman" w:hAnsi="Times New Roman" w:cs="Times New Roman"/>
          <w:sz w:val="24"/>
          <w:szCs w:val="24"/>
          <w:lang w:val="es-ES"/>
        </w:rPr>
        <w:t>Esta propuesta  consiste en que el término máximo de duración las medidas de aseguramiento privativas de la libertad, se determinará según el proceso del que se trate. La iniciativa establece que, por regla general, las detenciones preventivas no podrán durar más de dos (2) años. Excepcionalmente el término máximo de duración de esas detenciones será de tres (3) años cuando el proceso esté inmerso en uno de cuatro escenarios. Estos son que el proceso (i) se surta ante la justicia penal especializada, (</w:t>
      </w:r>
      <w:proofErr w:type="spellStart"/>
      <w:r w:rsidRPr="00FA7E5C">
        <w:rPr>
          <w:rFonts w:ascii="Times New Roman" w:hAnsi="Times New Roman" w:cs="Times New Roman"/>
          <w:sz w:val="24"/>
          <w:szCs w:val="24"/>
          <w:lang w:val="es-ES"/>
        </w:rPr>
        <w:t>ii</w:t>
      </w:r>
      <w:proofErr w:type="spellEnd"/>
      <w:r w:rsidRPr="00FA7E5C">
        <w:rPr>
          <w:rFonts w:ascii="Times New Roman" w:hAnsi="Times New Roman" w:cs="Times New Roman"/>
          <w:sz w:val="24"/>
          <w:szCs w:val="24"/>
          <w:lang w:val="es-ES"/>
        </w:rPr>
        <w:t>) tenga a tres (3) o más acusados con detención preventiva impuesta, (</w:t>
      </w:r>
      <w:proofErr w:type="spellStart"/>
      <w:r w:rsidRPr="00FA7E5C">
        <w:rPr>
          <w:rFonts w:ascii="Times New Roman" w:hAnsi="Times New Roman" w:cs="Times New Roman"/>
          <w:sz w:val="24"/>
          <w:szCs w:val="24"/>
          <w:lang w:val="es-ES"/>
        </w:rPr>
        <w:t>iii</w:t>
      </w:r>
      <w:proofErr w:type="spellEnd"/>
      <w:r w:rsidRPr="00FA7E5C">
        <w:rPr>
          <w:rFonts w:ascii="Times New Roman" w:hAnsi="Times New Roman" w:cs="Times New Roman"/>
          <w:sz w:val="24"/>
          <w:szCs w:val="24"/>
          <w:lang w:val="es-ES"/>
        </w:rPr>
        <w:t xml:space="preserve">) tramite </w:t>
      </w:r>
      <w:r w:rsidRPr="00FA7E5C">
        <w:rPr>
          <w:rFonts w:ascii="Times New Roman" w:eastAsia="Times New Roman" w:hAnsi="Times New Roman" w:cs="Times New Roman"/>
          <w:sz w:val="24"/>
          <w:szCs w:val="24"/>
        </w:rPr>
        <w:t>de delitos contra la administración púbica o que afecten el patrimonio del Estado</w:t>
      </w:r>
      <w:r w:rsidRPr="00FA7E5C">
        <w:rPr>
          <w:rFonts w:ascii="Times New Roman" w:hAnsi="Times New Roman" w:cs="Times New Roman"/>
          <w:sz w:val="24"/>
          <w:szCs w:val="24"/>
          <w:lang w:val="es-ES"/>
        </w:rPr>
        <w:t>o (</w:t>
      </w:r>
      <w:proofErr w:type="spellStart"/>
      <w:r w:rsidRPr="00FA7E5C">
        <w:rPr>
          <w:rFonts w:ascii="Times New Roman" w:hAnsi="Times New Roman" w:cs="Times New Roman"/>
          <w:sz w:val="24"/>
          <w:szCs w:val="24"/>
          <w:lang w:val="es-ES"/>
        </w:rPr>
        <w:t>iv</w:t>
      </w:r>
      <w:proofErr w:type="spellEnd"/>
      <w:r w:rsidRPr="00FA7E5C">
        <w:rPr>
          <w:rFonts w:ascii="Times New Roman" w:hAnsi="Times New Roman" w:cs="Times New Roman"/>
          <w:sz w:val="24"/>
          <w:szCs w:val="24"/>
          <w:lang w:val="es-ES"/>
        </w:rPr>
        <w:t>) tramite los delitos contemplados en el Título IV del Libro Segundo de la Ley 599 de 2000</w:t>
      </w:r>
      <w:r w:rsidRPr="00FA7E5C">
        <w:rPr>
          <w:rFonts w:ascii="Times New Roman" w:hAnsi="Times New Roman" w:cs="Times New Roman"/>
          <w:sz w:val="24"/>
          <w:szCs w:val="24"/>
          <w:vertAlign w:val="superscript"/>
          <w:lang w:val="es-ES"/>
        </w:rPr>
        <w:footnoteReference w:id="68"/>
      </w:r>
      <w:r w:rsidRPr="00FA7E5C">
        <w:rPr>
          <w:rFonts w:ascii="Times New Roman" w:hAnsi="Times New Roman" w:cs="Times New Roman"/>
          <w:sz w:val="24"/>
          <w:szCs w:val="24"/>
          <w:lang w:val="es-ES"/>
        </w:rPr>
        <w:t xml:space="preserve"> o </w:t>
      </w:r>
      <w:r w:rsidRPr="00FA7E5C">
        <w:rPr>
          <w:rFonts w:ascii="Times New Roman" w:eastAsia="Times New Roman" w:hAnsi="Times New Roman" w:cs="Times New Roman"/>
          <w:sz w:val="24"/>
          <w:szCs w:val="24"/>
        </w:rPr>
        <w:t>o de aquellas establecidas en la Ley 1719 de  2014</w:t>
      </w:r>
      <w:r w:rsidRPr="00FA7E5C">
        <w:rPr>
          <w:rStyle w:val="Refdenotaalpie"/>
          <w:rFonts w:ascii="Times New Roman" w:eastAsia="Times New Roman" w:hAnsi="Times New Roman" w:cs="Times New Roman"/>
          <w:sz w:val="24"/>
          <w:szCs w:val="24"/>
        </w:rPr>
        <w:footnoteReference w:id="69"/>
      </w:r>
      <w:r w:rsidRPr="00FA7E5C">
        <w:rPr>
          <w:rFonts w:ascii="Times New Roman" w:eastAsia="Times New Roman" w:hAnsi="Times New Roman" w:cs="Times New Roman"/>
          <w:sz w:val="24"/>
          <w:szCs w:val="24"/>
        </w:rPr>
        <w:t xml:space="preserve">. </w:t>
      </w: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Así mismo, la propuesta dispone que para ambos eventos, el término de las medidas de aseguramiento privativas de la libertad puede ser prorrogado hasta por la mitad del término inicial. La prórroga deberá ser decretada por el juez de control de garantías, si la Fiscalía o el apoderado de la víctima la solicitan y siempre que se demuestre que es necesaria para lograr las finalidades de las medidas de aseguramiento previstas en el artículo 308 de la Ley 906 de 2004. La propuesta también establece que las decisiones de levantamiento, prórroga o sustitución deben tener en cuenta que la detención preventiva debe ser una medida excepcional. </w:t>
      </w:r>
    </w:p>
    <w:p w:rsidR="00CF7242" w:rsidRPr="00FA7E5C" w:rsidRDefault="00CF7242" w:rsidP="00CF7242">
      <w:pPr>
        <w:spacing w:after="0" w:line="240" w:lineRule="auto"/>
        <w:jc w:val="both"/>
        <w:rPr>
          <w:rFonts w:ascii="Times New Roman" w:hAnsi="Times New Roman" w:cs="Times New Roman"/>
          <w:b/>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De igual manera, se dispone </w:t>
      </w:r>
      <w:r w:rsidRPr="00FA7E5C">
        <w:rPr>
          <w:rFonts w:ascii="Times New Roman" w:eastAsia="Times New Roman" w:hAnsi="Times New Roman" w:cs="Times New Roman"/>
          <w:sz w:val="24"/>
          <w:szCs w:val="24"/>
        </w:rPr>
        <w:t xml:space="preserve">el juez, al momento de resolver la solicitud de imposición,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rsidR="00CF7242" w:rsidRPr="00FA7E5C" w:rsidRDefault="00CF7242" w:rsidP="00CF7242">
      <w:pPr>
        <w:spacing w:after="0" w:line="240" w:lineRule="auto"/>
        <w:jc w:val="both"/>
        <w:rPr>
          <w:rFonts w:ascii="Times New Roman" w:hAnsi="Times New Roman" w:cs="Times New Roman"/>
          <w:b/>
          <w:sz w:val="24"/>
          <w:szCs w:val="24"/>
          <w:lang w:val="es-ES"/>
        </w:rPr>
      </w:pPr>
    </w:p>
    <w:p w:rsidR="00CF7242" w:rsidRPr="00FA7E5C" w:rsidRDefault="00CF7242" w:rsidP="00CF7242">
      <w:pPr>
        <w:pStyle w:val="Prrafodelista"/>
        <w:numPr>
          <w:ilvl w:val="0"/>
          <w:numId w:val="26"/>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 xml:space="preserve">Fundamentos para la modificación </w:t>
      </w:r>
    </w:p>
    <w:p w:rsidR="00DC59CD" w:rsidRDefault="00DC59CD" w:rsidP="000B2B33">
      <w:pPr>
        <w:spacing w:after="0" w:line="240" w:lineRule="auto"/>
        <w:jc w:val="both"/>
        <w:rPr>
          <w:rFonts w:ascii="Times New Roman" w:hAnsi="Times New Roman" w:cs="Times New Roman"/>
          <w:sz w:val="24"/>
          <w:szCs w:val="24"/>
          <w:lang w:val="es-ES"/>
        </w:rPr>
      </w:pPr>
    </w:p>
    <w:p w:rsidR="00CF7242" w:rsidRPr="00FA7E5C" w:rsidRDefault="00CF7242" w:rsidP="000B2B33">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La política implementada por la Ley 1760 de 2015, junto con su modificación mediante la Ley 1786 de 2016, no resulta ajustada a la realidad de los procesos penales. Esto conlleva a la realización parcial de los principios de proporcionalidad y razonabilidad de estas medidas. </w:t>
      </w:r>
    </w:p>
    <w:p w:rsidR="000B2B33" w:rsidRPr="00FA7E5C" w:rsidRDefault="000B2B33" w:rsidP="000B2B33">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27"/>
        </w:numPr>
        <w:rPr>
          <w:rFonts w:ascii="Times New Roman" w:hAnsi="Times New Roman" w:cs="Times New Roman"/>
          <w:b/>
          <w:sz w:val="24"/>
          <w:szCs w:val="24"/>
          <w:lang w:val="es-ES"/>
        </w:rPr>
      </w:pPr>
      <w:r w:rsidRPr="00FA7E5C">
        <w:rPr>
          <w:rFonts w:ascii="Times New Roman" w:hAnsi="Times New Roman" w:cs="Times New Roman"/>
          <w:b/>
          <w:sz w:val="24"/>
          <w:szCs w:val="24"/>
          <w:lang w:val="es-ES"/>
        </w:rPr>
        <w:t>La política implementada por la Ley 1760 de 2015, junto con su modificación mediante la Ley 1786 de 2016, no resulta ajustada a la realidad de los procesos penales</w:t>
      </w: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El nuevo régimen en materia de medidas de aseguramiento privativas de la libertad se construyó sobre el supuesto de que un proceso penal tarda entre 220 días y 310 días en agotarse</w:t>
      </w:r>
      <w:r w:rsidRPr="00FA7E5C">
        <w:rPr>
          <w:rFonts w:ascii="Times New Roman" w:hAnsi="Times New Roman" w:cs="Times New Roman"/>
          <w:sz w:val="24"/>
          <w:szCs w:val="24"/>
          <w:vertAlign w:val="superscript"/>
          <w:lang w:val="es-ES"/>
        </w:rPr>
        <w:footnoteReference w:id="70"/>
      </w:r>
      <w:r w:rsidRPr="00FA7E5C">
        <w:rPr>
          <w:rFonts w:ascii="Times New Roman" w:hAnsi="Times New Roman" w:cs="Times New Roman"/>
          <w:sz w:val="24"/>
          <w:szCs w:val="24"/>
          <w:lang w:val="es-ES"/>
        </w:rPr>
        <w:t>.  Sin embargo, los fundamentos empíricos que se han recaudado hasta el momento, si bien podrían justificar esa afirmación, desconocen la complejidad de muchos de los casos que se investigan en la Fiscalía. Con el propósito de ilustrar lo anterior, a continuación se hace referencia a (i) las cifras reportadas por la Fiscalía General de la Nación en materia de duración del proceso penal, a partir de las cuales es viable advertir que hay procesos que se pueden extender más allá de los previsto en la norma y (</w:t>
      </w:r>
      <w:proofErr w:type="spellStart"/>
      <w:r w:rsidRPr="00FA7E5C">
        <w:rPr>
          <w:rFonts w:ascii="Times New Roman" w:hAnsi="Times New Roman" w:cs="Times New Roman"/>
          <w:sz w:val="24"/>
          <w:szCs w:val="24"/>
          <w:lang w:val="es-ES"/>
        </w:rPr>
        <w:t>ii</w:t>
      </w:r>
      <w:proofErr w:type="spellEnd"/>
      <w:r w:rsidRPr="00FA7E5C">
        <w:rPr>
          <w:rFonts w:ascii="Times New Roman" w:hAnsi="Times New Roman" w:cs="Times New Roman"/>
          <w:sz w:val="24"/>
          <w:szCs w:val="24"/>
          <w:lang w:val="es-ES"/>
        </w:rPr>
        <w:t xml:space="preserve">) los datos sobre duración de las medidas de aseguramiento privativas de la libertad mediante los cuales se revela que la duración de esas medidas no tienen correspondencia con el término máximo previsto en la legislación actual.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28"/>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 xml:space="preserve">La duración de los procesos penales no es la misma para todos los casos sino que depende de las particularidades de cada proceso </w:t>
      </w:r>
    </w:p>
    <w:p w:rsidR="00CF7242" w:rsidRPr="00FA7E5C" w:rsidRDefault="00CF7242" w:rsidP="00CF7242">
      <w:pPr>
        <w:spacing w:after="0" w:line="240" w:lineRule="auto"/>
        <w:ind w:left="720"/>
        <w:jc w:val="both"/>
        <w:rPr>
          <w:rFonts w:ascii="Times New Roman" w:hAnsi="Times New Roman" w:cs="Times New Roman"/>
          <w:b/>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Sobre la duración del proceso penal se tuvo en cuenta para el presente diagnóstico, (i) un estudio presentado por la Corporación Excelencia para la Justicia y el Consejo Superior de la Judicatura y </w:t>
      </w:r>
      <w:proofErr w:type="spellStart"/>
      <w:r w:rsidRPr="00FA7E5C">
        <w:rPr>
          <w:rFonts w:ascii="Times New Roman" w:hAnsi="Times New Roman" w:cs="Times New Roman"/>
          <w:sz w:val="24"/>
          <w:szCs w:val="24"/>
          <w:lang w:val="es-ES"/>
        </w:rPr>
        <w:t>ii</w:t>
      </w:r>
      <w:proofErr w:type="spellEnd"/>
      <w:r w:rsidRPr="00FA7E5C">
        <w:rPr>
          <w:rFonts w:ascii="Times New Roman" w:hAnsi="Times New Roman" w:cs="Times New Roman"/>
          <w:sz w:val="24"/>
          <w:szCs w:val="24"/>
          <w:lang w:val="es-ES"/>
        </w:rPr>
        <w:t>) las cifras presentadas al respecto por la Dirección Nacional de Políticas Públicas y Planeación –</w:t>
      </w:r>
      <w:proofErr w:type="spellStart"/>
      <w:r w:rsidRPr="00FA7E5C">
        <w:rPr>
          <w:rFonts w:ascii="Times New Roman" w:hAnsi="Times New Roman" w:cs="Times New Roman"/>
          <w:sz w:val="24"/>
          <w:szCs w:val="24"/>
          <w:lang w:val="es-ES"/>
        </w:rPr>
        <w:t>DNPPP</w:t>
      </w:r>
      <w:proofErr w:type="spellEnd"/>
      <w:r w:rsidRPr="00FA7E5C">
        <w:rPr>
          <w:rFonts w:ascii="Times New Roman" w:hAnsi="Times New Roman" w:cs="Times New Roman"/>
          <w:sz w:val="24"/>
          <w:szCs w:val="24"/>
          <w:lang w:val="es-ES"/>
        </w:rPr>
        <w:t xml:space="preserve">– de la Fiscalía General de la Nación. Ambos reportes demuestran que las particularidades del proceso penal hacen que éste pueda extenderse por un término superior al previsto en las Leyes 1760 de 2015 y 1786 de 2016. Veamos: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29"/>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 xml:space="preserve">Informe </w:t>
      </w:r>
      <w:r w:rsidRPr="00FA7E5C">
        <w:rPr>
          <w:rFonts w:ascii="Times New Roman" w:hAnsi="Times New Roman" w:cs="Times New Roman"/>
          <w:b/>
          <w:i/>
          <w:sz w:val="24"/>
          <w:szCs w:val="24"/>
          <w:lang w:val="es-ES"/>
        </w:rPr>
        <w:t>Resultado de estudios de costos procesales</w:t>
      </w:r>
      <w:r w:rsidRPr="00FA7E5C">
        <w:rPr>
          <w:rFonts w:ascii="Times New Roman" w:hAnsi="Times New Roman" w:cs="Times New Roman"/>
          <w:b/>
          <w:sz w:val="24"/>
          <w:szCs w:val="24"/>
          <w:lang w:val="es-ES"/>
        </w:rPr>
        <w:t>. Corporación Excelencia para la Justicia y Consejo Superior de la Judicatura</w:t>
      </w:r>
      <w:r w:rsidRPr="00FA7E5C">
        <w:rPr>
          <w:rFonts w:ascii="Times New Roman" w:hAnsi="Times New Roman" w:cs="Times New Roman"/>
          <w:sz w:val="24"/>
          <w:szCs w:val="24"/>
          <w:vertAlign w:val="superscript"/>
          <w:lang w:val="es-ES"/>
        </w:rPr>
        <w:footnoteReference w:id="71"/>
      </w:r>
    </w:p>
    <w:p w:rsidR="00CF7242" w:rsidRPr="00FA7E5C" w:rsidRDefault="00CF7242" w:rsidP="00CF7242">
      <w:pPr>
        <w:spacing w:after="0" w:line="240" w:lineRule="auto"/>
        <w:ind w:left="720"/>
        <w:jc w:val="both"/>
        <w:rPr>
          <w:rFonts w:ascii="Times New Roman" w:hAnsi="Times New Roman" w:cs="Times New Roman"/>
          <w:b/>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El análisis de la Corporación Excelencia para la Justicia, comparó la duración de los procesos penales bajo el régimen procesal de la Ley 600 de 2000 y la Ley 906 de 2004. De conformidad con este informe y a partir de las observaciones anteriores, el proceso penal en la oralidad tiene una duración aproximada entre 69 días y 282 días</w:t>
      </w:r>
      <w:r w:rsidRPr="00FA7E5C">
        <w:rPr>
          <w:rFonts w:ascii="Times New Roman" w:hAnsi="Times New Roman" w:cs="Times New Roman"/>
          <w:sz w:val="24"/>
          <w:szCs w:val="24"/>
          <w:vertAlign w:val="superscript"/>
          <w:lang w:val="es-ES"/>
        </w:rPr>
        <w:footnoteReference w:id="72"/>
      </w:r>
      <w:r w:rsidRPr="00FA7E5C">
        <w:rPr>
          <w:rFonts w:ascii="Times New Roman" w:hAnsi="Times New Roman" w:cs="Times New Roman"/>
          <w:sz w:val="24"/>
          <w:szCs w:val="24"/>
          <w:lang w:val="es-ES"/>
        </w:rPr>
        <w:t xml:space="preserve">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El análisis presentó un caso particular que duró 1.259 días y que por lo tanto, excedió el promedio en 1190 días. Adicionalmente debe señalarse que la información reportada en ese informe, al parecer no tuvo en cuenta las diferencias y complejidades en la investigación y </w:t>
      </w:r>
      <w:r w:rsidRPr="00FA7E5C">
        <w:rPr>
          <w:rFonts w:ascii="Times New Roman" w:hAnsi="Times New Roman" w:cs="Times New Roman"/>
          <w:sz w:val="24"/>
          <w:szCs w:val="24"/>
          <w:lang w:val="es-ES"/>
        </w:rPr>
        <w:lastRenderedPageBreak/>
        <w:t xml:space="preserve">juzgamiento de distintos delitos, como por ejemplo, aquellos que son de conocimiento de la justicia especializada.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pStyle w:val="Prrafodelista"/>
        <w:numPr>
          <w:ilvl w:val="0"/>
          <w:numId w:val="29"/>
        </w:numPr>
        <w:spacing w:after="0" w:line="240" w:lineRule="auto"/>
        <w:jc w:val="both"/>
        <w:rPr>
          <w:rFonts w:ascii="Times New Roman" w:hAnsi="Times New Roman" w:cs="Times New Roman"/>
          <w:b/>
          <w:sz w:val="24"/>
          <w:szCs w:val="24"/>
          <w:lang w:val="es-ES"/>
        </w:rPr>
      </w:pPr>
      <w:r w:rsidRPr="00FA7E5C">
        <w:rPr>
          <w:rFonts w:ascii="Times New Roman" w:hAnsi="Times New Roman" w:cs="Times New Roman"/>
          <w:b/>
          <w:sz w:val="24"/>
          <w:szCs w:val="24"/>
          <w:lang w:val="es-ES"/>
        </w:rPr>
        <w:t>Información recopilada por la</w:t>
      </w:r>
      <w:r w:rsidRPr="00FA7E5C">
        <w:rPr>
          <w:rFonts w:ascii="Times New Roman" w:hAnsi="Times New Roman" w:cs="Times New Roman"/>
          <w:b/>
          <w:i/>
          <w:sz w:val="24"/>
          <w:szCs w:val="24"/>
          <w:lang w:val="es-ES"/>
        </w:rPr>
        <w:t xml:space="preserve"> </w:t>
      </w:r>
      <w:r w:rsidRPr="00FA7E5C">
        <w:rPr>
          <w:rFonts w:ascii="Times New Roman" w:hAnsi="Times New Roman" w:cs="Times New Roman"/>
          <w:b/>
          <w:sz w:val="24"/>
          <w:szCs w:val="24"/>
          <w:lang w:val="es-ES"/>
        </w:rPr>
        <w:t>Dirección Nacional de Políticas Públicas y Planeación –</w:t>
      </w:r>
      <w:proofErr w:type="spellStart"/>
      <w:r w:rsidRPr="00FA7E5C">
        <w:rPr>
          <w:rFonts w:ascii="Times New Roman" w:hAnsi="Times New Roman" w:cs="Times New Roman"/>
          <w:b/>
          <w:sz w:val="24"/>
          <w:szCs w:val="24"/>
          <w:lang w:val="es-ES"/>
        </w:rPr>
        <w:t>DNPPP</w:t>
      </w:r>
      <w:proofErr w:type="spellEnd"/>
      <w:r w:rsidRPr="00FA7E5C">
        <w:rPr>
          <w:rFonts w:ascii="Times New Roman" w:hAnsi="Times New Roman" w:cs="Times New Roman"/>
          <w:b/>
          <w:sz w:val="24"/>
          <w:szCs w:val="24"/>
          <w:lang w:val="es-ES"/>
        </w:rPr>
        <w:t xml:space="preserve">– de la </w:t>
      </w:r>
      <w:proofErr w:type="spellStart"/>
      <w:r w:rsidRPr="00FA7E5C">
        <w:rPr>
          <w:rFonts w:ascii="Times New Roman" w:hAnsi="Times New Roman" w:cs="Times New Roman"/>
          <w:b/>
          <w:sz w:val="24"/>
          <w:szCs w:val="24"/>
          <w:lang w:val="es-ES"/>
        </w:rPr>
        <w:t>FGN</w:t>
      </w:r>
      <w:proofErr w:type="spellEnd"/>
    </w:p>
    <w:p w:rsidR="00CF7242" w:rsidRPr="00FA7E5C" w:rsidRDefault="00CF7242" w:rsidP="00CF7242">
      <w:pPr>
        <w:spacing w:after="0" w:line="240" w:lineRule="auto"/>
        <w:ind w:left="1080"/>
        <w:jc w:val="both"/>
        <w:rPr>
          <w:rFonts w:ascii="Times New Roman" w:hAnsi="Times New Roman" w:cs="Times New Roman"/>
          <w:sz w:val="24"/>
          <w:szCs w:val="24"/>
          <w:lang w:val="es-ES"/>
        </w:rPr>
      </w:pPr>
    </w:p>
    <w:p w:rsidR="00CF7242" w:rsidRPr="00FA7E5C" w:rsidRDefault="00CF7242" w:rsidP="00CF7242">
      <w:pPr>
        <w:spacing w:after="0" w:line="276"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Los datos que tuvo en cuenta la </w:t>
      </w:r>
      <w:proofErr w:type="spellStart"/>
      <w:r w:rsidRPr="00FA7E5C">
        <w:rPr>
          <w:rFonts w:ascii="Times New Roman" w:hAnsi="Times New Roman" w:cs="Times New Roman"/>
          <w:sz w:val="24"/>
          <w:szCs w:val="24"/>
        </w:rPr>
        <w:t>DNPPP</w:t>
      </w:r>
      <w:proofErr w:type="spellEnd"/>
      <w:r w:rsidRPr="00FA7E5C">
        <w:rPr>
          <w:rFonts w:ascii="Times New Roman" w:hAnsi="Times New Roman" w:cs="Times New Roman"/>
          <w:sz w:val="24"/>
          <w:szCs w:val="24"/>
        </w:rPr>
        <w:t xml:space="preserve"> para analizar la duración del proceso penal, corresponden a los procesos que ha adelantado la Fiscalía desde el 2005 hasta la actualidad, </w:t>
      </w:r>
      <w:r w:rsidRPr="00FA7E5C">
        <w:rPr>
          <w:rFonts w:ascii="Times New Roman" w:hAnsi="Times New Roman" w:cs="Times New Roman"/>
          <w:sz w:val="24"/>
          <w:szCs w:val="24"/>
          <w:u w:val="single"/>
        </w:rPr>
        <w:t>sin diferenciar la forma en la que se terminó el proceso</w:t>
      </w:r>
      <w:r w:rsidRPr="00FA7E5C">
        <w:rPr>
          <w:rFonts w:ascii="Times New Roman" w:hAnsi="Times New Roman" w:cs="Times New Roman"/>
          <w:sz w:val="24"/>
          <w:szCs w:val="24"/>
        </w:rPr>
        <w:t xml:space="preserve"> –es decir si se terminó de forma anticipada o mediante sentencia–</w:t>
      </w:r>
      <w:r w:rsidRPr="00FA7E5C">
        <w:rPr>
          <w:rFonts w:ascii="Times New Roman" w:hAnsi="Times New Roman" w:cs="Times New Roman"/>
          <w:sz w:val="24"/>
          <w:szCs w:val="24"/>
          <w:vertAlign w:val="superscript"/>
        </w:rPr>
        <w:footnoteReference w:id="73"/>
      </w:r>
      <w:r w:rsidRPr="00FA7E5C">
        <w:rPr>
          <w:rFonts w:ascii="Times New Roman" w:hAnsi="Times New Roman" w:cs="Times New Roman"/>
          <w:sz w:val="24"/>
          <w:szCs w:val="24"/>
        </w:rPr>
        <w:t xml:space="preserve">. </w:t>
      </w: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En esta labor de actualización de información, esa Dirección determinó que, en promedio, la duración de un proceso penal fue de 79 días para cada uno en el 2015. Esta información incluye los casos de flagrancia y archivos. Por su parte, del total de casos que conoció la Fiscalía para el 2016, 449.750 tuvieron una duración inferior a un (1) año y 10.067 procesos duraron más de ese tiempo. Veamos:</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 </w:t>
      </w:r>
    </w:p>
    <w:tbl>
      <w:tblPr>
        <w:tblStyle w:val="Tablaconcuadrcula"/>
        <w:tblW w:w="8574" w:type="dxa"/>
        <w:tblInd w:w="-5" w:type="dxa"/>
        <w:tblLook w:val="04A0"/>
      </w:tblPr>
      <w:tblGrid>
        <w:gridCol w:w="1255"/>
        <w:gridCol w:w="668"/>
        <w:gridCol w:w="1071"/>
        <w:gridCol w:w="668"/>
        <w:gridCol w:w="1134"/>
        <w:gridCol w:w="1121"/>
        <w:gridCol w:w="1121"/>
        <w:gridCol w:w="951"/>
        <w:gridCol w:w="1070"/>
      </w:tblGrid>
      <w:tr w:rsidR="00CF7242" w:rsidRPr="00FA7E5C" w:rsidTr="00D319AC">
        <w:trPr>
          <w:trHeight w:val="920"/>
        </w:trPr>
        <w:tc>
          <w:tcPr>
            <w:tcW w:w="3524" w:type="dxa"/>
            <w:gridSpan w:val="4"/>
            <w:noWrap/>
            <w:hideMark/>
          </w:tcPr>
          <w:p w:rsidR="00CF7242" w:rsidRPr="00FA7E5C" w:rsidRDefault="00CF7242" w:rsidP="00D319AC">
            <w:pPr>
              <w:jc w:val="center"/>
              <w:rPr>
                <w:rFonts w:ascii="Times New Roman" w:hAnsi="Times New Roman" w:cs="Times New Roman"/>
                <w:b/>
                <w:sz w:val="24"/>
                <w:szCs w:val="24"/>
              </w:rPr>
            </w:pPr>
          </w:p>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 xml:space="preserve">Unidad de conteo: </w:t>
            </w:r>
            <w:r w:rsidRPr="00FA7E5C">
              <w:rPr>
                <w:rFonts w:ascii="Times New Roman" w:hAnsi="Times New Roman" w:cs="Times New Roman"/>
                <w:b/>
                <w:i/>
                <w:sz w:val="24"/>
                <w:szCs w:val="24"/>
              </w:rPr>
              <w:t>Días transcurridos</w:t>
            </w:r>
            <w:r w:rsidRPr="00FA7E5C">
              <w:rPr>
                <w:rFonts w:ascii="Times New Roman" w:hAnsi="Times New Roman" w:cs="Times New Roman"/>
                <w:b/>
                <w:sz w:val="24"/>
                <w:szCs w:val="24"/>
              </w:rPr>
              <w:t xml:space="preserve"> entre la entrada y la salida –se incluyen todos los tipos de salida–</w:t>
            </w:r>
          </w:p>
          <w:p w:rsidR="00CF7242" w:rsidRPr="00FA7E5C" w:rsidRDefault="00CF7242" w:rsidP="00D319AC">
            <w:pPr>
              <w:jc w:val="center"/>
              <w:rPr>
                <w:rFonts w:ascii="Times New Roman" w:hAnsi="Times New Roman" w:cs="Times New Roman"/>
                <w:sz w:val="24"/>
                <w:szCs w:val="24"/>
              </w:rPr>
            </w:pPr>
          </w:p>
        </w:tc>
        <w:tc>
          <w:tcPr>
            <w:tcW w:w="5050" w:type="dxa"/>
            <w:gridSpan w:val="5"/>
            <w:noWrap/>
            <w:hideMark/>
          </w:tcPr>
          <w:p w:rsidR="00CF7242" w:rsidRPr="00FA7E5C" w:rsidRDefault="00CF7242" w:rsidP="00D319AC">
            <w:pPr>
              <w:jc w:val="center"/>
              <w:rPr>
                <w:rFonts w:ascii="Times New Roman" w:hAnsi="Times New Roman" w:cs="Times New Roman"/>
                <w:b/>
                <w:sz w:val="24"/>
                <w:szCs w:val="24"/>
              </w:rPr>
            </w:pPr>
          </w:p>
          <w:p w:rsidR="00CF7242" w:rsidRPr="00FA7E5C" w:rsidRDefault="00CF7242" w:rsidP="00D319AC">
            <w:pPr>
              <w:jc w:val="center"/>
              <w:rPr>
                <w:rFonts w:ascii="Times New Roman" w:hAnsi="Times New Roman" w:cs="Times New Roman"/>
                <w:b/>
                <w:sz w:val="24"/>
                <w:szCs w:val="24"/>
              </w:rPr>
            </w:pPr>
          </w:p>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b/>
                <w:sz w:val="24"/>
                <w:szCs w:val="24"/>
              </w:rPr>
              <w:t xml:space="preserve">Unidad de conteo: </w:t>
            </w:r>
            <w:r w:rsidRPr="00FA7E5C">
              <w:rPr>
                <w:rFonts w:ascii="Times New Roman" w:hAnsi="Times New Roman" w:cs="Times New Roman"/>
                <w:b/>
                <w:i/>
                <w:sz w:val="24"/>
                <w:szCs w:val="24"/>
              </w:rPr>
              <w:t>Número de casos</w:t>
            </w:r>
            <w:r w:rsidRPr="00FA7E5C">
              <w:rPr>
                <w:rFonts w:ascii="Times New Roman" w:hAnsi="Times New Roman" w:cs="Times New Roman"/>
                <w:b/>
                <w:sz w:val="24"/>
                <w:szCs w:val="24"/>
              </w:rPr>
              <w:t xml:space="preserve"> que salieron en menos de 1 año respecto de todas las entradas.</w:t>
            </w:r>
          </w:p>
          <w:p w:rsidR="00CF7242" w:rsidRPr="00FA7E5C" w:rsidRDefault="00CF7242" w:rsidP="00D319AC">
            <w:pPr>
              <w:jc w:val="both"/>
              <w:rPr>
                <w:rFonts w:ascii="Times New Roman" w:hAnsi="Times New Roman" w:cs="Times New Roman"/>
                <w:b/>
                <w:sz w:val="24"/>
                <w:szCs w:val="24"/>
              </w:rPr>
            </w:pPr>
            <w:r w:rsidRPr="00FA7E5C">
              <w:rPr>
                <w:rFonts w:ascii="Times New Roman" w:hAnsi="Times New Roman" w:cs="Times New Roman"/>
                <w:sz w:val="24"/>
                <w:szCs w:val="24"/>
              </w:rPr>
              <w:t> </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b/>
                <w:bCs/>
                <w:sz w:val="24"/>
                <w:szCs w:val="24"/>
                <w:u w:val="single"/>
              </w:rPr>
            </w:pPr>
            <w:r w:rsidRPr="00FA7E5C">
              <w:rPr>
                <w:rFonts w:ascii="Times New Roman" w:hAnsi="Times New Roman" w:cs="Times New Roman"/>
                <w:b/>
                <w:bCs/>
                <w:sz w:val="24"/>
                <w:szCs w:val="24"/>
                <w:u w:val="single"/>
              </w:rPr>
              <w:t>Año de la</w:t>
            </w:r>
          </w:p>
          <w:p w:rsidR="00CF7242" w:rsidRPr="00FA7E5C" w:rsidRDefault="00CF7242" w:rsidP="00D319AC">
            <w:pPr>
              <w:jc w:val="center"/>
              <w:rPr>
                <w:rFonts w:ascii="Times New Roman" w:hAnsi="Times New Roman" w:cs="Times New Roman"/>
                <w:b/>
                <w:bCs/>
                <w:sz w:val="24"/>
                <w:szCs w:val="24"/>
                <w:u w:val="single"/>
              </w:rPr>
            </w:pPr>
            <w:r w:rsidRPr="00FA7E5C">
              <w:rPr>
                <w:rFonts w:ascii="Times New Roman" w:hAnsi="Times New Roman" w:cs="Times New Roman"/>
                <w:b/>
                <w:bCs/>
                <w:sz w:val="24"/>
                <w:szCs w:val="24"/>
                <w:u w:val="single"/>
              </w:rPr>
              <w:t>Denuncia</w:t>
            </w:r>
          </w:p>
        </w:tc>
        <w:tc>
          <w:tcPr>
            <w:tcW w:w="616"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25%</w:t>
            </w:r>
          </w:p>
        </w:tc>
        <w:tc>
          <w:tcPr>
            <w:tcW w:w="975"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Mediana</w:t>
            </w:r>
          </w:p>
        </w:tc>
        <w:tc>
          <w:tcPr>
            <w:tcW w:w="616"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75%</w:t>
            </w:r>
          </w:p>
        </w:tc>
        <w:tc>
          <w:tcPr>
            <w:tcW w:w="1028" w:type="dxa"/>
            <w:noWrap/>
            <w:hideMark/>
          </w:tcPr>
          <w:p w:rsidR="00CF7242" w:rsidRPr="00FA7E5C" w:rsidRDefault="00CF7242" w:rsidP="00D319AC">
            <w:pPr>
              <w:jc w:val="center"/>
              <w:rPr>
                <w:rFonts w:ascii="Times New Roman" w:hAnsi="Times New Roman" w:cs="Times New Roman"/>
                <w:b/>
                <w:bCs/>
                <w:sz w:val="24"/>
                <w:szCs w:val="24"/>
                <w:u w:val="single"/>
              </w:rPr>
            </w:pPr>
            <w:r w:rsidRPr="00FA7E5C">
              <w:rPr>
                <w:rFonts w:ascii="Times New Roman" w:hAnsi="Times New Roman" w:cs="Times New Roman"/>
                <w:b/>
                <w:bCs/>
                <w:sz w:val="24"/>
                <w:szCs w:val="24"/>
                <w:u w:val="single"/>
              </w:rPr>
              <w:t>Año de la</w:t>
            </w:r>
          </w:p>
          <w:p w:rsidR="00CF7242" w:rsidRPr="00FA7E5C" w:rsidRDefault="00CF7242" w:rsidP="00D319AC">
            <w:pPr>
              <w:jc w:val="center"/>
              <w:rPr>
                <w:rFonts w:ascii="Times New Roman" w:hAnsi="Times New Roman" w:cs="Times New Roman"/>
                <w:b/>
                <w:bCs/>
                <w:sz w:val="24"/>
                <w:szCs w:val="24"/>
                <w:u w:val="single"/>
              </w:rPr>
            </w:pPr>
            <w:r w:rsidRPr="00FA7E5C">
              <w:rPr>
                <w:rFonts w:ascii="Times New Roman" w:hAnsi="Times New Roman" w:cs="Times New Roman"/>
                <w:b/>
                <w:bCs/>
                <w:sz w:val="24"/>
                <w:szCs w:val="24"/>
                <w:u w:val="single"/>
              </w:rPr>
              <w:t>Denuncia</w:t>
            </w:r>
          </w:p>
        </w:tc>
        <w:tc>
          <w:tcPr>
            <w:tcW w:w="1016"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Duración mayor 1 año</w:t>
            </w:r>
          </w:p>
        </w:tc>
        <w:tc>
          <w:tcPr>
            <w:tcW w:w="1016"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Duración menor 1 año</w:t>
            </w:r>
          </w:p>
        </w:tc>
        <w:tc>
          <w:tcPr>
            <w:tcW w:w="868"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Sin salir</w:t>
            </w:r>
          </w:p>
        </w:tc>
        <w:tc>
          <w:tcPr>
            <w:tcW w:w="1122" w:type="dxa"/>
            <w:noWrap/>
            <w:hideMark/>
          </w:tcPr>
          <w:p w:rsidR="00CF7242" w:rsidRPr="00FA7E5C" w:rsidRDefault="00CF7242" w:rsidP="00D319AC">
            <w:pPr>
              <w:jc w:val="center"/>
              <w:rPr>
                <w:rFonts w:ascii="Times New Roman" w:hAnsi="Times New Roman" w:cs="Times New Roman"/>
                <w:b/>
                <w:sz w:val="24"/>
                <w:szCs w:val="24"/>
              </w:rPr>
            </w:pPr>
            <w:r w:rsidRPr="00FA7E5C">
              <w:rPr>
                <w:rFonts w:ascii="Times New Roman" w:hAnsi="Times New Roman" w:cs="Times New Roman"/>
                <w:b/>
                <w:sz w:val="24"/>
                <w:szCs w:val="24"/>
              </w:rPr>
              <w:t>% menor 1 año</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2005</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53</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317</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1435</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2005</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75.666</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80.368</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25.943</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44%</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2006</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61</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350</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1128</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2006</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171.529</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176.749</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56.926</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44%</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2007</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70</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327</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1002</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2007</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254.201</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276.698</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89.368</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45%</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2008</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106</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358</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866</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2008</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317.389</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324.759</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114.118</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43%</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2009</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86</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298</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735</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2009</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390.805</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477.885</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149.750</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47%</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2010</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60</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204</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577</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2010</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312.327</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556.109</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156.243</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54%</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2011</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51</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164</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485</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2011</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275.646</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612.493</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193.708</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57%</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2012</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54</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169</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461</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2012</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259.868</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584.055</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248.85</w:t>
            </w:r>
            <w:r w:rsidRPr="00FA7E5C">
              <w:rPr>
                <w:rFonts w:ascii="Times New Roman" w:hAnsi="Times New Roman" w:cs="Times New Roman"/>
                <w:sz w:val="24"/>
                <w:szCs w:val="24"/>
              </w:rPr>
              <w:lastRenderedPageBreak/>
              <w:t>6</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lastRenderedPageBreak/>
              <w:t>53%</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lastRenderedPageBreak/>
              <w:t>2013</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48</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157</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398</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2013</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223.390</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597.225</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344.568</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51%</w:t>
            </w:r>
          </w:p>
        </w:tc>
      </w:tr>
      <w:tr w:rsidR="00CF7242" w:rsidRPr="00FA7E5C" w:rsidTr="00D319AC">
        <w:trPr>
          <w:trHeight w:val="300"/>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2014</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41</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122</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292</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2014</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127.215</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570.986</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439.709</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50%</w:t>
            </w:r>
          </w:p>
        </w:tc>
      </w:tr>
      <w:tr w:rsidR="00CF7242" w:rsidRPr="00FA7E5C" w:rsidTr="00D319AC">
        <w:trPr>
          <w:trHeight w:val="315"/>
        </w:trPr>
        <w:tc>
          <w:tcPr>
            <w:tcW w:w="1317"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2015</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30</w:t>
            </w:r>
          </w:p>
        </w:tc>
        <w:tc>
          <w:tcPr>
            <w:tcW w:w="975"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79</w:t>
            </w:r>
          </w:p>
        </w:tc>
        <w:tc>
          <w:tcPr>
            <w:tcW w:w="6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166</w:t>
            </w:r>
          </w:p>
        </w:tc>
        <w:tc>
          <w:tcPr>
            <w:tcW w:w="102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2015</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10.067</w:t>
            </w:r>
          </w:p>
        </w:tc>
        <w:tc>
          <w:tcPr>
            <w:tcW w:w="1016"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449.750</w:t>
            </w:r>
          </w:p>
        </w:tc>
        <w:tc>
          <w:tcPr>
            <w:tcW w:w="868"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533.641</w:t>
            </w:r>
          </w:p>
        </w:tc>
        <w:tc>
          <w:tcPr>
            <w:tcW w:w="1122" w:type="dxa"/>
            <w:noWrap/>
            <w:hideMark/>
          </w:tcPr>
          <w:p w:rsidR="00CF7242" w:rsidRPr="00FA7E5C" w:rsidRDefault="00CF7242" w:rsidP="00D319AC">
            <w:pPr>
              <w:jc w:val="center"/>
              <w:rPr>
                <w:rFonts w:ascii="Times New Roman" w:hAnsi="Times New Roman" w:cs="Times New Roman"/>
                <w:sz w:val="24"/>
                <w:szCs w:val="24"/>
              </w:rPr>
            </w:pPr>
            <w:r w:rsidRPr="00FA7E5C">
              <w:rPr>
                <w:rFonts w:ascii="Times New Roman" w:hAnsi="Times New Roman" w:cs="Times New Roman"/>
                <w:sz w:val="24"/>
                <w:szCs w:val="24"/>
              </w:rPr>
              <w:t>45%</w:t>
            </w:r>
          </w:p>
        </w:tc>
      </w:tr>
    </w:tbl>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 partir de lo anterior, es viable concluir que, en principio, la información reportada por la </w:t>
      </w:r>
      <w:proofErr w:type="spellStart"/>
      <w:r w:rsidRPr="00FA7E5C">
        <w:rPr>
          <w:rFonts w:ascii="Times New Roman" w:hAnsi="Times New Roman" w:cs="Times New Roman"/>
          <w:sz w:val="24"/>
          <w:szCs w:val="24"/>
          <w:lang w:val="es-ES"/>
        </w:rPr>
        <w:t>DNPPP</w:t>
      </w:r>
      <w:proofErr w:type="spellEnd"/>
      <w:r w:rsidRPr="00FA7E5C">
        <w:rPr>
          <w:rFonts w:ascii="Times New Roman" w:hAnsi="Times New Roman" w:cs="Times New Roman"/>
          <w:sz w:val="24"/>
          <w:szCs w:val="24"/>
          <w:lang w:val="es-ES"/>
        </w:rPr>
        <w:t xml:space="preserve"> coadyuva la tesis de que un proceso penal tiene una duración máxima de un año. En cualquier caso, resaltamos nuevamente que esta información involucra todos los tipos de procesos penales, sin discriminar las terminaciones anticipadas, flagrancias o sentencias. Lo cierto es que puede concluirse que el plazo de un año, si bien corresponde en alguna medida con la realidad de duración de un proceso, no se compadece con los casos complejos y graves.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En otras palabras, las Leyes 1760 y 1786 no tienen un efecto útil con el total de los casos promedio que se tramitan en la fiscalía –porque una gran parte en promedio son menores a un año- sino que por el contrario impactan un porcentaje alto de casos que no hacen parte del promedio y que por tanto pueden considerarse como procesos de alta complejidad y gravedad. En suma, lo que debe concluirse es que utilizar como criterio para establecer un término objetivo de duración de las medidas de aseguramiento el promedio del proceso, no se compadece con los casos que son de difícil investigación y juzgamiento. </w:t>
      </w:r>
    </w:p>
    <w:p w:rsidR="00CF7242" w:rsidRPr="00FA7E5C" w:rsidRDefault="00CF7242" w:rsidP="00CF7242">
      <w:pPr>
        <w:spacing w:after="0" w:line="240" w:lineRule="auto"/>
        <w:ind w:left="720"/>
        <w:jc w:val="both"/>
        <w:rPr>
          <w:rFonts w:ascii="Times New Roman" w:hAnsi="Times New Roman" w:cs="Times New Roman"/>
          <w:b/>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Al hacer un análisis en el que se tenga en cuenta el delito por el que se adelanta el proceso penal, se observa que la duración de la medida de aseguramiento privativa de la libertad puede exceder con creces los términos dispuestos en la legislación, tanto para casos en los que es posible prorrogar la medida como para aquellos en los que no. Con el fin de demostrar lo anterior, se hace referencia a la duración de las detenciones preventivas impuestas en distintos procesos penales, pero esta vez, diferenciados por delitos.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En ese sentido, para casos en los que la duración de la detención ha sido de un (1) año sin posibilidad de prórroga, se extraen las siguientes conclusiones. Para los procesos en los que se juzga el delito de homicidio, el promedio de duración de la medida privativa es de 321 días. Sin embargo, existen casos en los que la detención se ha extendido por 1.812 días – es decir cuatro veces el término previsto inicialmente–.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Así mismo, en materia de medidas impuestas en procesos tramitados para juzgar lesiones personales, aunque el promedio de duración de las mismas es de 490 días, existen casos en los que se han extendido hasta por 3.409 días. Por último, en procesos tramitados por el delito de hurto simple, el promedio de duración de las detenciones impuestas al interior de los mismos es de 283 días, aunque existen casos en los que se han extendido hasta por 2.410.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Por su parte, en relación con las medidas de aseguramiento privativas de la libertad que han sido impuestas al interior de procesos que admiten su prórroga, se analizó la información </w:t>
      </w:r>
      <w:r w:rsidRPr="00FA7E5C">
        <w:rPr>
          <w:rFonts w:ascii="Times New Roman" w:hAnsi="Times New Roman" w:cs="Times New Roman"/>
          <w:sz w:val="24"/>
          <w:szCs w:val="24"/>
          <w:lang w:val="es-ES"/>
        </w:rPr>
        <w:lastRenderedPageBreak/>
        <w:t xml:space="preserve">sobre la duración de la detención, únicamente en casos que se adelantan por algunos delitos que son competencia de la justicia especializada. Estos eventos presentan una situación aún más compleja si se tiene en cuenta que los datos arrojan que el promedio de duración de la medida en esos procesos excede el año.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Es así que, por ejemplo, en casos en los que se juzga el delito de secuestro simple, el promedio de duración de la detención ha sido de 463 días pero en ciertos eventos puede extenderse hasta por 2.953. Así mismo, para procesos que tramitan delitos de acceso carnal con menor de 14 años, por lo regular la medida privativa de la libertad dura 393 días pero en algunos casos se extiende hasta por 1.802.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Igualmente, en procesos adelantados para el juzgamiento de actos sexuales abusivos con menor de 14 años, la detención suele mantenerse por 401 días y en casos específicos llega hasta 1.843 días. Por último, los procesos que se adelantan por el delito de lavado de activos resultan emblemáticos frente a los procesos en los que se han impuesto medidas que podrían ser prorrogadas, toda vez que la generalidad indica que esas detenciones preventivas se prolongan por 583 días, pero existen casos en los que materialmente han durado hasta 3.006 días.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A partir de lo anterior, se concluye que la duración del proceso en delitos graves y que implican una investigación y juzgamiento complejos, y por ende de las medidas de aseguramiento privativas de la libertad, excede el término de uno y dos años que, según lo dispuesto en la Ley 1760 de 2015 y su posterior modificación, debe durar el proceso penal. El exceso en la duración corresponde a la excepcionalidad de los casos por las complejidades que estos representan.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Es así que aún en los procesos que en principio se consideran sencillos por el delito que se investiga, tal como puede suceder con el hurto simple, el caso puede tener particularidades complejas que conlleven a que la duración de la medida se pueda extender hasta por 2.410 días. Es decir: podrían sobrepasar el término máximo de duración previsto en la legislación actual hasta por 2.045 días.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En conclusión, es viable concluir que existen casos en los que, con el propósito de garantizar los fines constitucionales de las medidas de aseguramiento privativas de la libertad previstos por el ordenamiento jurídico, es necesario mantener la detención preventiva mientras tengan vigencia las mismas circunstancias que motivaron su imposición y mientras otras medidas no privativas no resulten suficientes. Esta situación puede implicar que se superen los términos previstos en las Leyes 1760 y 1786.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t xml:space="preserve">En otras palabras, en atención a que las medidas de aseguramiento se justifican en tanto persiguen la efectividad del proceso penal, la duración de la medida debe estar atada a la consecución de esas finalidades y no solamente a un criterio formal contemplado en la Ley. Los datos demuestran que la realidad del proceso penal excede los criterios normativos actualmente consagrados en la legislación, discordancia que implica el eventual desconocimiento de los propósitos de las medidas de aseguramiento, especialmente en casos de cierta complejidad. </w:t>
      </w:r>
    </w:p>
    <w:p w:rsidR="00CF7242" w:rsidRPr="00FA7E5C" w:rsidRDefault="00CF7242" w:rsidP="00CF7242">
      <w:pPr>
        <w:spacing w:after="0" w:line="240" w:lineRule="auto"/>
        <w:jc w:val="both"/>
        <w:rPr>
          <w:rFonts w:ascii="Times New Roman" w:hAnsi="Times New Roman" w:cs="Times New Roman"/>
          <w:sz w:val="24"/>
          <w:szCs w:val="24"/>
          <w:lang w:val="es-ES"/>
        </w:rPr>
      </w:pPr>
    </w:p>
    <w:p w:rsidR="00CF7242" w:rsidRPr="00FA7E5C" w:rsidRDefault="00CF7242" w:rsidP="00CF7242">
      <w:pPr>
        <w:spacing w:after="0" w:line="240" w:lineRule="auto"/>
        <w:jc w:val="both"/>
        <w:rPr>
          <w:rFonts w:ascii="Times New Roman" w:hAnsi="Times New Roman" w:cs="Times New Roman"/>
          <w:sz w:val="24"/>
          <w:szCs w:val="24"/>
          <w:lang w:val="es-ES"/>
        </w:rPr>
      </w:pPr>
      <w:r w:rsidRPr="00FA7E5C">
        <w:rPr>
          <w:rFonts w:ascii="Times New Roman" w:hAnsi="Times New Roman" w:cs="Times New Roman"/>
          <w:sz w:val="24"/>
          <w:szCs w:val="24"/>
          <w:lang w:val="es-ES"/>
        </w:rPr>
        <w:lastRenderedPageBreak/>
        <w:t xml:space="preserve">Ahora bien, aunque podría pensarse que el término objetivo consagrado en la norma es compatible con la realidad del proceso penal, porque los términos normativos y los estudios relativos a la duración del proceso arrojan que este tarda aproximadamente un año en ser resuelto, esta afirmación no es cierta. Por un lado, los términos normativos no tienen en cuenta la duración de las audiencias, y por el otro, los estudios sobre la duración del proceso tienen en cuenta todos los casos de manera indistinta. Esto significa que ninguno de los mecanismos que podrían soportar cuál debe ser el término máximo de duración de la medida atiende a la realidad del proceso, pues desconocen los casos complejos que representan un porcentaje importante de los casos que son competencia de la Fiscalía. Los análisis de la información que se han realizado hasta el momento son únicamente de tipo cuantitativo y no cualitativo, lo que desconoce las particularidades de determinados casos en los que se requieren otro tipo de actuaciones en la investigación. </w:t>
      </w:r>
    </w:p>
    <w:p w:rsidR="000B2B33" w:rsidRPr="00FA7E5C" w:rsidRDefault="000B2B33" w:rsidP="00CF7242">
      <w:pPr>
        <w:spacing w:after="0" w:line="240" w:lineRule="auto"/>
        <w:jc w:val="both"/>
        <w:rPr>
          <w:rFonts w:ascii="Times New Roman" w:hAnsi="Times New Roman" w:cs="Times New Roman"/>
          <w:sz w:val="24"/>
          <w:szCs w:val="24"/>
          <w:lang w:val="es-ES"/>
        </w:rPr>
      </w:pPr>
    </w:p>
    <w:p w:rsidR="00117056" w:rsidRPr="00FA7E5C" w:rsidRDefault="00117056" w:rsidP="00D319AC">
      <w:pPr>
        <w:numPr>
          <w:ilvl w:val="0"/>
          <w:numId w:val="1"/>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 xml:space="preserve">REFORMAR LA BÚSQUEDA SELECTIVA EN BASES DE DATOS Y EL USO DE AGENTE ENCUBIERTO PARA MAXIMIZAR LOS RESULTADOS DE LAS INICIATIVAS INVESTIGATIVAS SIN VULNERAR DERECHOS FUNDAMENTALES </w:t>
      </w:r>
    </w:p>
    <w:p w:rsidR="00117056" w:rsidRPr="00FA7E5C" w:rsidRDefault="00117056" w:rsidP="00117056">
      <w:pPr>
        <w:spacing w:after="0" w:line="240" w:lineRule="auto"/>
        <w:jc w:val="both"/>
        <w:rPr>
          <w:rFonts w:ascii="Times New Roman" w:hAnsi="Times New Roman" w:cs="Times New Roman"/>
          <w:b/>
          <w:sz w:val="24"/>
          <w:szCs w:val="24"/>
        </w:rPr>
      </w:pPr>
    </w:p>
    <w:p w:rsidR="00117056" w:rsidRPr="00FA7E5C" w:rsidRDefault="00117056" w:rsidP="00117056">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El proyecto de ley propone modificar las diligencias investigativas de búsqueda selectiva en bases de datos y de uso de agentes encubiertos para lograr una mayor eficiencia tanto en las investigaciones adelantadas por la Fiscalía General de la Nación, como en los derechos fundamentales de los investigados. Especialmente, en lo que respecta al derecho a la intimidad de las personas. Veamos. </w:t>
      </w:r>
    </w:p>
    <w:p w:rsidR="00117056" w:rsidRPr="00FA7E5C" w:rsidRDefault="00117056" w:rsidP="00117056">
      <w:pPr>
        <w:spacing w:after="0" w:line="240" w:lineRule="auto"/>
        <w:jc w:val="both"/>
        <w:rPr>
          <w:rFonts w:ascii="Times New Roman" w:hAnsi="Times New Roman" w:cs="Times New Roman"/>
          <w:sz w:val="24"/>
          <w:szCs w:val="24"/>
        </w:rPr>
      </w:pPr>
    </w:p>
    <w:p w:rsidR="00117056" w:rsidRPr="00FA7E5C" w:rsidRDefault="000B2B33" w:rsidP="00117056">
      <w:pPr>
        <w:numPr>
          <w:ilvl w:val="0"/>
          <w:numId w:val="22"/>
        </w:numPr>
        <w:spacing w:after="0" w:line="240" w:lineRule="auto"/>
        <w:jc w:val="both"/>
        <w:rPr>
          <w:rFonts w:ascii="Times New Roman" w:hAnsi="Times New Roman" w:cs="Times New Roman"/>
          <w:b/>
          <w:sz w:val="24"/>
          <w:szCs w:val="24"/>
        </w:rPr>
      </w:pPr>
      <w:r w:rsidRPr="00FA7E5C">
        <w:rPr>
          <w:rFonts w:ascii="Times New Roman" w:hAnsi="Times New Roman" w:cs="Times New Roman"/>
          <w:b/>
          <w:sz w:val="24"/>
          <w:szCs w:val="24"/>
        </w:rPr>
        <w:t>La protección del a</w:t>
      </w:r>
      <w:r w:rsidR="00117056" w:rsidRPr="00FA7E5C">
        <w:rPr>
          <w:rFonts w:ascii="Times New Roman" w:hAnsi="Times New Roman" w:cs="Times New Roman"/>
          <w:b/>
          <w:sz w:val="24"/>
          <w:szCs w:val="24"/>
        </w:rPr>
        <w:t xml:space="preserve">gente encubierto una garantía para el proceso penal y para los derechos fundamentales </w:t>
      </w:r>
    </w:p>
    <w:p w:rsidR="00117056" w:rsidRPr="00FA7E5C" w:rsidRDefault="00117056" w:rsidP="00117056">
      <w:pPr>
        <w:spacing w:after="0" w:line="240" w:lineRule="auto"/>
        <w:jc w:val="both"/>
        <w:rPr>
          <w:rFonts w:ascii="Times New Roman" w:eastAsia="Times New Roman" w:hAnsi="Times New Roman" w:cs="Times New Roman"/>
          <w:b/>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Actualmente, la diligencia de búsqueda selectiva en bases de datos está regulada en el artículo 244 del Código de Procedimiento Penal, de la siguiente forma:</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ind w:left="708"/>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“La policía judicial, en desarrollo de su actividad investigativa, podrá realizar las comparaciones de datos registradas en bases mecánicas, magnéticas u otras similares, siempre y cuando se trate del simple cotejo de informaciones de acceso público.</w:t>
      </w:r>
    </w:p>
    <w:p w:rsidR="00117056" w:rsidRPr="00FA7E5C" w:rsidRDefault="00117056" w:rsidP="00117056">
      <w:pPr>
        <w:spacing w:after="0" w:line="240" w:lineRule="auto"/>
        <w:ind w:left="708"/>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ind w:left="708"/>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Cuando se requiera adelantar búsqueda selectiva en las bases de datos, que implique el acceso a información confidencial, referida al indiciado o imputado o, inclusive a la obtención de datos derivados del análisis cruzado de las mismas, deberá mediar autorización previa del fiscal que dirija la investigación y se aplicarán, en lo pertinente, las disposiciones relativas a los registros y allanamientos.</w:t>
      </w:r>
    </w:p>
    <w:p w:rsidR="00117056" w:rsidRPr="00FA7E5C" w:rsidRDefault="00117056" w:rsidP="00117056">
      <w:pPr>
        <w:spacing w:after="0" w:line="240" w:lineRule="auto"/>
        <w:ind w:left="708"/>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ind w:left="708"/>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En estos casos, la revisión de la legalidad se realizará ante el juez de control de garantías, dentro de las treinta y seis (36) horas siguientes a la culminación de la búsqueda selectiva de la información”</w:t>
      </w:r>
      <w:r w:rsidRPr="00FA7E5C">
        <w:rPr>
          <w:rFonts w:ascii="Times New Roman" w:eastAsia="Times New Roman" w:hAnsi="Times New Roman" w:cs="Times New Roman"/>
          <w:sz w:val="24"/>
          <w:szCs w:val="24"/>
          <w:vertAlign w:val="superscript"/>
          <w:lang w:eastAsia="es-CO"/>
        </w:rPr>
        <w:footnoteReference w:id="74"/>
      </w:r>
      <w:r w:rsidRPr="00FA7E5C">
        <w:rPr>
          <w:rFonts w:ascii="Times New Roman" w:eastAsia="Times New Roman" w:hAnsi="Times New Roman" w:cs="Times New Roman"/>
          <w:sz w:val="24"/>
          <w:szCs w:val="24"/>
          <w:lang w:eastAsia="es-CO"/>
        </w:rPr>
        <w:t>.</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lastRenderedPageBreak/>
        <w:t>El inciso segundo de esta norma fue estudiado en sede de constitucionalidad por la Corte quien decidió declararlo exequible “en el entendido que se requiere de orden judicial previa cuando se trata de datos personales organizados con fines legales y recogidos por instituciones o entidades públicas o privadas debidamente autorizadas para ello”</w:t>
      </w:r>
      <w:r w:rsidRPr="00FA7E5C">
        <w:rPr>
          <w:rFonts w:ascii="Times New Roman" w:eastAsia="Times New Roman" w:hAnsi="Times New Roman" w:cs="Times New Roman"/>
          <w:sz w:val="24"/>
          <w:szCs w:val="24"/>
          <w:vertAlign w:val="superscript"/>
          <w:lang w:eastAsia="es-CO"/>
        </w:rPr>
        <w:footnoteReference w:id="75"/>
      </w:r>
      <w:r w:rsidRPr="00FA7E5C">
        <w:rPr>
          <w:rFonts w:ascii="Times New Roman" w:eastAsia="Times New Roman" w:hAnsi="Times New Roman" w:cs="Times New Roman"/>
          <w:sz w:val="24"/>
          <w:szCs w:val="24"/>
          <w:lang w:eastAsia="es-CO"/>
        </w:rPr>
        <w:t xml:space="preserve">. Es decir, que en el caso de realizar la diligencia de búsqueda selectiva en bases de datos que contienen información confidencial, el fiscal de conocimiento deberá contar con la autorización previa del juez de control de garantías.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En consecuencia, esta actividad investigativa tiene las siguientes características. (i) Involucra al menos tres actividades, la consulta de la información, la comparación de los datos, y el análisis del resultado. (</w:t>
      </w:r>
      <w:proofErr w:type="spellStart"/>
      <w:r w:rsidRPr="00FA7E5C">
        <w:rPr>
          <w:rFonts w:ascii="Times New Roman" w:eastAsia="Times New Roman" w:hAnsi="Times New Roman" w:cs="Times New Roman"/>
          <w:sz w:val="24"/>
          <w:szCs w:val="24"/>
          <w:lang w:eastAsia="es-CO"/>
        </w:rPr>
        <w:t>ii</w:t>
      </w:r>
      <w:proofErr w:type="spellEnd"/>
      <w:r w:rsidRPr="00FA7E5C">
        <w:rPr>
          <w:rFonts w:ascii="Times New Roman" w:eastAsia="Times New Roman" w:hAnsi="Times New Roman" w:cs="Times New Roman"/>
          <w:sz w:val="24"/>
          <w:szCs w:val="24"/>
          <w:lang w:eastAsia="es-CO"/>
        </w:rPr>
        <w:t>) La Fiscalía puede realizar estas acciones en cualquier base de datos contenga información pública o confidencial. Sin embargo, (</w:t>
      </w:r>
      <w:proofErr w:type="spellStart"/>
      <w:r w:rsidRPr="00FA7E5C">
        <w:rPr>
          <w:rFonts w:ascii="Times New Roman" w:eastAsia="Times New Roman" w:hAnsi="Times New Roman" w:cs="Times New Roman"/>
          <w:sz w:val="24"/>
          <w:szCs w:val="24"/>
          <w:lang w:eastAsia="es-CO"/>
        </w:rPr>
        <w:t>iii</w:t>
      </w:r>
      <w:proofErr w:type="spellEnd"/>
      <w:r w:rsidRPr="00FA7E5C">
        <w:rPr>
          <w:rFonts w:ascii="Times New Roman" w:eastAsia="Times New Roman" w:hAnsi="Times New Roman" w:cs="Times New Roman"/>
          <w:sz w:val="24"/>
          <w:szCs w:val="24"/>
          <w:lang w:eastAsia="es-CO"/>
        </w:rPr>
        <w:t>) para la consulta de bases de datos con información confidencial requerirá control previo del juez de control de garantías. Y (</w:t>
      </w:r>
      <w:proofErr w:type="spellStart"/>
      <w:r w:rsidRPr="00FA7E5C">
        <w:rPr>
          <w:rFonts w:ascii="Times New Roman" w:eastAsia="Times New Roman" w:hAnsi="Times New Roman" w:cs="Times New Roman"/>
          <w:sz w:val="24"/>
          <w:szCs w:val="24"/>
          <w:lang w:eastAsia="es-CO"/>
        </w:rPr>
        <w:t>iv</w:t>
      </w:r>
      <w:proofErr w:type="spellEnd"/>
      <w:r w:rsidRPr="00FA7E5C">
        <w:rPr>
          <w:rFonts w:ascii="Times New Roman" w:eastAsia="Times New Roman" w:hAnsi="Times New Roman" w:cs="Times New Roman"/>
          <w:sz w:val="24"/>
          <w:szCs w:val="24"/>
          <w:lang w:eastAsia="es-CO"/>
        </w:rPr>
        <w:t>) una vez obtenga los resultados de la diligencia deberá acudir al control posterior del juez de control de garantías.</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Esta regulación ha conllevado a varias problemáticas prácticas que deben ser solucionadas para efectos de maximizar la eficiencia del proceso de investigación y de ofrecer las mejores garantías de los derechos de las personas. Para justificar las modificaciones propuestas, es necesario hacer referencia a (i) las dificultades prácticas que ha presentado la regulación actual de la búsqueda selectiva en bases de datos, para establecer (</w:t>
      </w:r>
      <w:proofErr w:type="spellStart"/>
      <w:r w:rsidRPr="00FA7E5C">
        <w:rPr>
          <w:rFonts w:ascii="Times New Roman" w:eastAsia="Times New Roman" w:hAnsi="Times New Roman" w:cs="Times New Roman"/>
          <w:sz w:val="24"/>
          <w:szCs w:val="24"/>
          <w:lang w:eastAsia="es-CO"/>
        </w:rPr>
        <w:t>ii</w:t>
      </w:r>
      <w:proofErr w:type="spellEnd"/>
      <w:r w:rsidRPr="00FA7E5C">
        <w:rPr>
          <w:rFonts w:ascii="Times New Roman" w:eastAsia="Times New Roman" w:hAnsi="Times New Roman" w:cs="Times New Roman"/>
          <w:sz w:val="24"/>
          <w:szCs w:val="24"/>
          <w:lang w:eastAsia="es-CO"/>
        </w:rPr>
        <w:t xml:space="preserve">) la forma en la que el proyecto de ley las soluciona.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numPr>
          <w:ilvl w:val="0"/>
          <w:numId w:val="23"/>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Dificultades actuales de la búsqueda selectiva en bases de datos</w:t>
      </w:r>
    </w:p>
    <w:p w:rsidR="00117056" w:rsidRPr="00FA7E5C" w:rsidRDefault="00117056" w:rsidP="00117056">
      <w:pPr>
        <w:spacing w:after="0" w:line="240" w:lineRule="auto"/>
        <w:jc w:val="both"/>
        <w:rPr>
          <w:rFonts w:ascii="Times New Roman" w:eastAsia="Times New Roman" w:hAnsi="Times New Roman" w:cs="Times New Roman"/>
          <w:b/>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La regulación actual de la búsqueda selectiva en bases de datos, ha generado varias dificultades en la práctica en detrimento de los derechos al acceso a la justicia de las personas involucradas en el proceso. Estas pueden ser agrupadas en tres aspectos fundamentales; (i) la indeterminación de las acciones que pueden desarrollarse en ejercicio de esta actividad, (</w:t>
      </w:r>
      <w:proofErr w:type="spellStart"/>
      <w:r w:rsidRPr="00FA7E5C">
        <w:rPr>
          <w:rFonts w:ascii="Times New Roman" w:eastAsia="Times New Roman" w:hAnsi="Times New Roman" w:cs="Times New Roman"/>
          <w:sz w:val="24"/>
          <w:szCs w:val="24"/>
          <w:lang w:eastAsia="es-CO"/>
        </w:rPr>
        <w:t>ii</w:t>
      </w:r>
      <w:proofErr w:type="spellEnd"/>
      <w:r w:rsidRPr="00FA7E5C">
        <w:rPr>
          <w:rFonts w:ascii="Times New Roman" w:eastAsia="Times New Roman" w:hAnsi="Times New Roman" w:cs="Times New Roman"/>
          <w:sz w:val="24"/>
          <w:szCs w:val="24"/>
          <w:lang w:eastAsia="es-CO"/>
        </w:rPr>
        <w:t>) el tipo de información que corresponde a la categoría “información confidencial”, y (</w:t>
      </w:r>
      <w:proofErr w:type="spellStart"/>
      <w:r w:rsidRPr="00FA7E5C">
        <w:rPr>
          <w:rFonts w:ascii="Times New Roman" w:eastAsia="Times New Roman" w:hAnsi="Times New Roman" w:cs="Times New Roman"/>
          <w:sz w:val="24"/>
          <w:szCs w:val="24"/>
          <w:lang w:eastAsia="es-CO"/>
        </w:rPr>
        <w:t>iii</w:t>
      </w:r>
      <w:proofErr w:type="spellEnd"/>
      <w:r w:rsidRPr="00FA7E5C">
        <w:rPr>
          <w:rFonts w:ascii="Times New Roman" w:eastAsia="Times New Roman" w:hAnsi="Times New Roman" w:cs="Times New Roman"/>
          <w:sz w:val="24"/>
          <w:szCs w:val="24"/>
          <w:lang w:eastAsia="es-CO"/>
        </w:rPr>
        <w:t>) el momento en el que las fiscalía debe acudir al control posterior.</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numPr>
          <w:ilvl w:val="0"/>
          <w:numId w:val="24"/>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Indeterminación de las acciones que involucran búsqueda selectiva en bases de datos</w:t>
      </w:r>
    </w:p>
    <w:p w:rsidR="00117056" w:rsidRPr="00FA7E5C" w:rsidRDefault="00117056" w:rsidP="00117056">
      <w:pPr>
        <w:spacing w:after="0" w:line="240" w:lineRule="auto"/>
        <w:jc w:val="both"/>
        <w:rPr>
          <w:rFonts w:ascii="Times New Roman" w:eastAsia="Times New Roman" w:hAnsi="Times New Roman" w:cs="Times New Roman"/>
          <w:b/>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La redacción actual del artículo 244 trata indiscriminadamente el acceso a la información contenida en las bases de datos, la comparación de los hallazgos y el análisis de los mismos. Esto significa que en principio para la correcta ejecución de la actividad la Fiscalía puede realizar cualquiera de las actuaciones allí contenidas. Es evidente que Al menos la consulta y análisis de la información son actuaciones inescindibles para poder culminar con la diligencia de investigación.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No obstante lo anterior, existe en la jurisprudencia de los jueces de control de garantías una disparidad de conceptos al respecto. Algunos de ellos consideran que la consulta de la información agota una orden de búsqueda selectiva, motivo por el cual el análisis de esa </w:t>
      </w:r>
      <w:r w:rsidRPr="00FA7E5C">
        <w:rPr>
          <w:rFonts w:ascii="Times New Roman" w:eastAsia="Times New Roman" w:hAnsi="Times New Roman" w:cs="Times New Roman"/>
          <w:sz w:val="24"/>
          <w:szCs w:val="24"/>
          <w:lang w:eastAsia="es-CO"/>
        </w:rPr>
        <w:lastRenderedPageBreak/>
        <w:t xml:space="preserve">información debe realizarse con otra orden. Según este criterio, si la información es de carácter confidencial el fiscal de conocimiento debe acudir a dos controles previos para obtener un solo resultado investigativo. Por el contrario, otros consideran que el control del juez corresponde a la consulta de la información, y su análisis es una actividad propia de la Fiscalía que puede realizar a partir de la legalización de la terminación de la consulta.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Esta disparidad de conceptos ha generado una congestión innecesaria en los jueces de control de garantías y en los fiscales de conocimiento, pues las dos instituciones están verificando una misma actividad investigativa dos veces.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numPr>
          <w:ilvl w:val="0"/>
          <w:numId w:val="24"/>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La categoría de información confidencial no corresponde con las categorías del derecho constitucional</w:t>
      </w:r>
    </w:p>
    <w:p w:rsidR="00117056" w:rsidRPr="00FA7E5C" w:rsidRDefault="00117056" w:rsidP="00117056">
      <w:pPr>
        <w:spacing w:after="0" w:line="240" w:lineRule="auto"/>
        <w:jc w:val="both"/>
        <w:rPr>
          <w:rFonts w:ascii="Times New Roman" w:eastAsia="Times New Roman" w:hAnsi="Times New Roman" w:cs="Times New Roman"/>
          <w:b/>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Aunado a lo anterior, el artículo en mención hace alusión a la información de carácter confidencial, categoría que no define, ni está incluida en la jurisprudencia de la Corte Constitucional, o en las leyes estatutarias que regulan los derechos fundamentales de habeas data y de acceso a la información. Esta situación lo que implica es que exista una gran disparidad de criterios entre los funcionarios judiciales sobre los datos que son confidenciales.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 jurídicamente válido considerar que solo hacen parte de la información confidencial los datos sensibles, la información reservada y la información confidencial. Pero también lo es incluir allí la información semiprivada. En materia de control judicial esta situación genera que en algunos casos los jueces accedan al control previo como en otros nieguen a hacerlo por considerar que la información objeto de control no es confidencial. Ante esta situación los fiscales han incurrido en la práctica de acudir varias veces ante la judicatura para lograr un pronunciamiento judicial en la materia, como medida previsiva ante los posibles efectos adversos que puede tener en juicio no llevar a control esta diligencia, pues dependerá del criterio del juez de conocimiento la inclusión o no de la prueba en juicio.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numPr>
          <w:ilvl w:val="0"/>
          <w:numId w:val="24"/>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 xml:space="preserve">En qué momento debe acudir al control judicial posterior </w:t>
      </w:r>
    </w:p>
    <w:p w:rsidR="00117056" w:rsidRPr="00FA7E5C" w:rsidRDefault="00117056" w:rsidP="00117056">
      <w:pPr>
        <w:spacing w:after="0" w:line="240" w:lineRule="auto"/>
        <w:jc w:val="both"/>
        <w:rPr>
          <w:rFonts w:ascii="Times New Roman" w:eastAsia="Times New Roman" w:hAnsi="Times New Roman" w:cs="Times New Roman"/>
          <w:b/>
          <w:sz w:val="24"/>
          <w:szCs w:val="24"/>
          <w:lang w:eastAsia="es-CO"/>
        </w:rPr>
      </w:pP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la misma línea, existe diversidad de criterios sobre el momento en que el fiscal de conocimiento debe acudir al control posterior si en el momento en que culmine la ejecución completa de la orden, o si cada vez que el fiscal reciba información debe acudir al juez de control de garantías. Es decir, hacer legalizaciones parciales de la orden inicialmente emitida. </w:t>
      </w:r>
    </w:p>
    <w:p w:rsidR="00117056" w:rsidRPr="00FA7E5C" w:rsidRDefault="00117056" w:rsidP="00117056">
      <w:pPr>
        <w:spacing w:after="0" w:line="240" w:lineRule="auto"/>
        <w:jc w:val="both"/>
        <w:rPr>
          <w:rFonts w:ascii="Times New Roman" w:eastAsia="Times New Roman" w:hAnsi="Times New Roman" w:cs="Times New Roman"/>
          <w:sz w:val="24"/>
          <w:szCs w:val="24"/>
          <w:lang w:eastAsia="es-CO"/>
        </w:rPr>
      </w:pPr>
    </w:p>
    <w:p w:rsidR="00117056" w:rsidRPr="00FA7E5C" w:rsidRDefault="00117056" w:rsidP="00117056">
      <w:pPr>
        <w:numPr>
          <w:ilvl w:val="0"/>
          <w:numId w:val="23"/>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La reforma propuesta no solo soluciona las dificultades advertidas hasta el momento, sino que ofrece mejores garantías para la protección de los derechos de las personas investigadas</w:t>
      </w:r>
    </w:p>
    <w:p w:rsidR="00117056" w:rsidRPr="00FA7E5C" w:rsidRDefault="00117056" w:rsidP="00117056">
      <w:pPr>
        <w:spacing w:after="0" w:line="240" w:lineRule="auto"/>
        <w:jc w:val="both"/>
        <w:rPr>
          <w:rFonts w:ascii="Times New Roman" w:eastAsia="Times New Roman" w:hAnsi="Times New Roman" w:cs="Times New Roman"/>
          <w:b/>
          <w:sz w:val="24"/>
          <w:szCs w:val="24"/>
        </w:rPr>
      </w:pPr>
    </w:p>
    <w:p w:rsidR="00117056" w:rsidRPr="00FA7E5C" w:rsidRDefault="00117056" w:rsidP="00117056">
      <w:pPr>
        <w:spacing w:after="0" w:line="240" w:lineRule="auto"/>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rPr>
        <w:t xml:space="preserve">La propuesta incluida en la reforma pretende solucionar las divergencias analizadas para lograr una justicia pronta y eficaz de la siguiente manera. En primer lugar, divide la actividad investigativa en dos actuaciones diferentes. Por un lado, la consulta de la información con su correspondiente análisis. Y por el otro, la comparación de los datos encontrados en las consultas. Esto aportará claridad sobre el agotamiento de la diligencia de </w:t>
      </w:r>
      <w:r w:rsidRPr="00FA7E5C">
        <w:rPr>
          <w:rFonts w:ascii="Times New Roman" w:eastAsia="Times New Roman" w:hAnsi="Times New Roman" w:cs="Times New Roman"/>
          <w:sz w:val="24"/>
          <w:szCs w:val="24"/>
        </w:rPr>
        <w:lastRenderedPageBreak/>
        <w:t xml:space="preserve">búsqueda selectiva con la consulta y análisis de la información consultada. Lo anterior permite que los análisis complejos de la información obtenida, es decir las comparaciones, sean ejecutados por la Fiscalía General de la Nación con el tiempo suficiente para el efecto. </w:t>
      </w:r>
    </w:p>
    <w:p w:rsidR="00117056" w:rsidRPr="00FA7E5C" w:rsidRDefault="00117056" w:rsidP="00117056">
      <w:pPr>
        <w:spacing w:after="0" w:line="240" w:lineRule="auto"/>
        <w:jc w:val="both"/>
        <w:rPr>
          <w:rFonts w:ascii="Times New Roman" w:eastAsia="Times New Roman" w:hAnsi="Times New Roman" w:cs="Times New Roman"/>
          <w:sz w:val="24"/>
          <w:szCs w:val="24"/>
        </w:rPr>
      </w:pPr>
    </w:p>
    <w:p w:rsidR="00117056" w:rsidRPr="00FA7E5C" w:rsidRDefault="00117056" w:rsidP="00117056">
      <w:pPr>
        <w:spacing w:after="0" w:line="240" w:lineRule="auto"/>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rPr>
        <w:t>Es claro que la afectación del derecho a la intimidad de las personas ocurre en el momento de la consulta, no en el momento del análisis de la información. El ámbito de protección de la intimidad involucra la posibilidad de mantener la vida privada fuera del conocimiento de las demás personas. Por ello, la afectación está directamente relacionada con la obtención de la información, no con el análisis de la misma en el proceso y para efectos de la responsabilidad penal. Es decir que esta división no implica vulneración alguna de derechos fundamentales.</w:t>
      </w:r>
    </w:p>
    <w:p w:rsidR="00117056" w:rsidRPr="00FA7E5C" w:rsidRDefault="00117056" w:rsidP="00117056">
      <w:pPr>
        <w:spacing w:after="0" w:line="240" w:lineRule="auto"/>
        <w:jc w:val="both"/>
        <w:rPr>
          <w:rFonts w:ascii="Times New Roman" w:eastAsia="Times New Roman" w:hAnsi="Times New Roman" w:cs="Times New Roman"/>
          <w:sz w:val="24"/>
          <w:szCs w:val="24"/>
        </w:rPr>
      </w:pPr>
    </w:p>
    <w:p w:rsidR="00117056" w:rsidRPr="00FA7E5C" w:rsidRDefault="00117056" w:rsidP="00117056">
      <w:pPr>
        <w:spacing w:after="0" w:line="240" w:lineRule="auto"/>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rPr>
        <w:t xml:space="preserve">En segundo lugar, utiliza las mismas categorías de información utilizadas por el derecho constitucional en materia de información, a saber, </w:t>
      </w:r>
      <w:proofErr w:type="gramStart"/>
      <w:r w:rsidRPr="00FA7E5C">
        <w:rPr>
          <w:rFonts w:ascii="Times New Roman" w:eastAsia="Times New Roman" w:hAnsi="Times New Roman" w:cs="Times New Roman"/>
          <w:sz w:val="24"/>
          <w:szCs w:val="24"/>
        </w:rPr>
        <w:t>pública</w:t>
      </w:r>
      <w:proofErr w:type="gramEnd"/>
      <w:r w:rsidRPr="00FA7E5C">
        <w:rPr>
          <w:rFonts w:ascii="Times New Roman" w:eastAsia="Times New Roman" w:hAnsi="Times New Roman" w:cs="Times New Roman"/>
          <w:sz w:val="24"/>
          <w:szCs w:val="24"/>
        </w:rPr>
        <w:t xml:space="preserve">, semiprivada, privada, reservada y datos sensibles, y las llena de contenido. A través de esta diferenciación establece niveles de control proporcionales al nivel de afectación del derecho a la intimidad. Es por ello que cuando se trata de información pública habilita a los agentes de policía judicial para realizar la consulta, en los casos de información semiprivada establece la necesidad de contar con orden previa del fiscal de conocimiento, y para las consultas de información privada, reservada y datos sensibles, impone el deber de acudir al juez de control de garantías. </w:t>
      </w:r>
    </w:p>
    <w:p w:rsidR="00117056" w:rsidRPr="00FA7E5C" w:rsidRDefault="00117056" w:rsidP="00117056">
      <w:pPr>
        <w:spacing w:after="0" w:line="240" w:lineRule="auto"/>
        <w:jc w:val="both"/>
        <w:rPr>
          <w:rFonts w:ascii="Times New Roman" w:eastAsia="Times New Roman" w:hAnsi="Times New Roman" w:cs="Times New Roman"/>
          <w:sz w:val="24"/>
          <w:szCs w:val="24"/>
        </w:rPr>
      </w:pPr>
    </w:p>
    <w:p w:rsidR="000A1F61" w:rsidRPr="00FA7E5C" w:rsidRDefault="00117056" w:rsidP="000B2B33">
      <w:pPr>
        <w:spacing w:after="0" w:line="240" w:lineRule="auto"/>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rPr>
        <w:t xml:space="preserve">El control escalonado de las consultas permite ajustar a los niveles de protección del derecho fundamental de habeas data en la Ley 1581 de 2012, que habilita a las autoridades administrativas a consultar cualquier información salvo datos sensibles siempre y cuando la requiera para el ejercicio de sus funciones. Si bien es cierto la Fiscalía General de la Nación no es una autoridad administrativa, también lo es que es una entidad pública autónoma con unas facultades de investigación amparadas por el ordenamiento constitucional que para su ejercicio requieren de acceso a información de las personas que no corresponden al núcleo duro de su derecho a la intimidad. </w:t>
      </w:r>
    </w:p>
    <w:p w:rsidR="009258C7" w:rsidRPr="00FA7E5C" w:rsidRDefault="009258C7" w:rsidP="009258C7">
      <w:pPr>
        <w:pStyle w:val="Sinespaciado"/>
        <w:ind w:left="1440"/>
        <w:rPr>
          <w:rFonts w:ascii="Times New Roman" w:hAnsi="Times New Roman" w:cs="Times New Roman"/>
          <w:b/>
          <w:sz w:val="24"/>
          <w:szCs w:val="24"/>
        </w:rPr>
      </w:pPr>
    </w:p>
    <w:p w:rsidR="009258C7" w:rsidRPr="00FA7E5C" w:rsidRDefault="009258C7" w:rsidP="00117056">
      <w:pPr>
        <w:pStyle w:val="Sinespaciado"/>
        <w:numPr>
          <w:ilvl w:val="0"/>
          <w:numId w:val="22"/>
        </w:numPr>
        <w:rPr>
          <w:rFonts w:ascii="Times New Roman" w:hAnsi="Times New Roman" w:cs="Times New Roman"/>
          <w:b/>
          <w:sz w:val="24"/>
          <w:szCs w:val="24"/>
        </w:rPr>
      </w:pPr>
      <w:r w:rsidRPr="00FA7E5C">
        <w:rPr>
          <w:rFonts w:ascii="Times New Roman" w:hAnsi="Times New Roman" w:cs="Times New Roman"/>
          <w:b/>
          <w:sz w:val="24"/>
          <w:szCs w:val="24"/>
        </w:rPr>
        <w:t>Uso de agentes encubiertos</w:t>
      </w:r>
    </w:p>
    <w:p w:rsidR="000A1F61" w:rsidRPr="00FA7E5C" w:rsidRDefault="000A1F61" w:rsidP="00117056">
      <w:pPr>
        <w:pStyle w:val="Sinespaciado"/>
        <w:rPr>
          <w:rFonts w:ascii="Times New Roman" w:hAnsi="Times New Roman" w:cs="Times New Roman"/>
          <w:b/>
          <w:sz w:val="24"/>
          <w:szCs w:val="24"/>
        </w:rPr>
      </w:pPr>
    </w:p>
    <w:p w:rsidR="009258C7" w:rsidRPr="00FA7E5C" w:rsidRDefault="009258C7" w:rsidP="009258C7">
      <w:pPr>
        <w:spacing w:line="240" w:lineRule="auto"/>
        <w:ind w:hanging="1"/>
        <w:jc w:val="both"/>
        <w:rPr>
          <w:rFonts w:ascii="Times New Roman" w:hAnsi="Times New Roman" w:cs="Times New Roman"/>
          <w:sz w:val="24"/>
          <w:szCs w:val="24"/>
        </w:rPr>
      </w:pPr>
      <w:r w:rsidRPr="00FA7E5C">
        <w:rPr>
          <w:rFonts w:ascii="Times New Roman" w:hAnsi="Times New Roman" w:cs="Times New Roman"/>
          <w:sz w:val="24"/>
          <w:szCs w:val="24"/>
        </w:rPr>
        <w:t xml:space="preserve">La reforma plantea algunas modificaciones a los artículos 241 y 242 del Código de Procedimiento Penal, referentes a las diligencias de agente encubierto. </w:t>
      </w:r>
    </w:p>
    <w:p w:rsidR="009258C7" w:rsidRPr="00FA7E5C" w:rsidRDefault="009258C7" w:rsidP="009258C7">
      <w:pPr>
        <w:spacing w:line="240" w:lineRule="auto"/>
        <w:ind w:hanging="1"/>
        <w:jc w:val="both"/>
        <w:rPr>
          <w:rFonts w:ascii="Times New Roman" w:hAnsi="Times New Roman" w:cs="Times New Roman"/>
          <w:sz w:val="24"/>
          <w:szCs w:val="24"/>
        </w:rPr>
      </w:pPr>
      <w:r w:rsidRPr="00FA7E5C">
        <w:rPr>
          <w:rFonts w:ascii="Times New Roman" w:hAnsi="Times New Roman" w:cs="Times New Roman"/>
          <w:sz w:val="24"/>
          <w:szCs w:val="24"/>
        </w:rPr>
        <w:t>Al respecto, se destaca la importancia de protección de quien ha sido agente encubierto, especialmente en lo que tiene que ver con la investigación del grupo en el cual se va a infiltrar  y el aseguramiento de la identidad del infiltrado. Existen dos razones principales para este objetivo: la primera, la protección de la integridad de la persona que sirve como agente y en muchas ocasiones pone en riesgo su vida para cumplir su misión. La segunda, hace referencia a los recursos económicos y humanos que ha puesto el Estado en la preparación de un agente encubierto y por lo tanto, la necesidad de conservar ese recurso humano para posteriores misiones.</w:t>
      </w:r>
    </w:p>
    <w:p w:rsidR="009258C7" w:rsidRPr="00FA7E5C" w:rsidRDefault="009258C7" w:rsidP="009258C7">
      <w:pPr>
        <w:spacing w:line="240" w:lineRule="auto"/>
        <w:ind w:hanging="1"/>
        <w:jc w:val="both"/>
        <w:rPr>
          <w:rFonts w:ascii="Times New Roman" w:hAnsi="Times New Roman" w:cs="Times New Roman"/>
          <w:sz w:val="24"/>
          <w:szCs w:val="24"/>
        </w:rPr>
      </w:pPr>
      <w:r w:rsidRPr="00FA7E5C">
        <w:rPr>
          <w:rFonts w:ascii="Times New Roman" w:hAnsi="Times New Roman" w:cs="Times New Roman"/>
          <w:sz w:val="24"/>
          <w:szCs w:val="24"/>
        </w:rPr>
        <w:t xml:space="preserve">Con respecto al tema investigativo, la reforma consagra la necesidad de indagar en todos los factores relevantes de la organización criminal que se va a infiltrar. Lo anterior incluye formas de financiación, influencia territorial, patrones criminales, la relación con el </w:t>
      </w:r>
      <w:r w:rsidRPr="00FA7E5C">
        <w:rPr>
          <w:rFonts w:ascii="Times New Roman" w:hAnsi="Times New Roman" w:cs="Times New Roman"/>
          <w:sz w:val="24"/>
          <w:szCs w:val="24"/>
        </w:rPr>
        <w:lastRenderedPageBreak/>
        <w:t>indiciado o imputado y todas aquellas que aporten algún tipo de información a la investigación.</w:t>
      </w:r>
    </w:p>
    <w:p w:rsidR="009258C7" w:rsidRPr="00FA7E5C" w:rsidRDefault="009258C7" w:rsidP="009258C7">
      <w:pPr>
        <w:spacing w:line="240" w:lineRule="auto"/>
        <w:ind w:hanging="1"/>
        <w:jc w:val="both"/>
        <w:rPr>
          <w:rFonts w:ascii="Times New Roman" w:hAnsi="Times New Roman" w:cs="Times New Roman"/>
          <w:sz w:val="24"/>
          <w:szCs w:val="24"/>
        </w:rPr>
      </w:pPr>
      <w:r w:rsidRPr="00FA7E5C">
        <w:rPr>
          <w:rFonts w:ascii="Times New Roman" w:hAnsi="Times New Roman" w:cs="Times New Roman"/>
          <w:sz w:val="24"/>
          <w:szCs w:val="24"/>
        </w:rPr>
        <w:t xml:space="preserve">También se plantea la protección a la identidad de los agentes, adicionando al artículo 242 del Código de Procedimiento Penal los parágrafos 1, 2 y 3. </w:t>
      </w:r>
    </w:p>
    <w:p w:rsidR="009258C7" w:rsidRPr="00FA7E5C" w:rsidRDefault="009258C7" w:rsidP="009258C7">
      <w:pPr>
        <w:spacing w:line="240" w:lineRule="auto"/>
        <w:ind w:hanging="1"/>
        <w:jc w:val="both"/>
        <w:rPr>
          <w:rFonts w:ascii="Times New Roman" w:hAnsi="Times New Roman" w:cs="Times New Roman"/>
          <w:sz w:val="24"/>
          <w:szCs w:val="24"/>
        </w:rPr>
      </w:pPr>
      <w:r w:rsidRPr="00FA7E5C">
        <w:rPr>
          <w:rFonts w:ascii="Times New Roman" w:hAnsi="Times New Roman" w:cs="Times New Roman"/>
          <w:sz w:val="24"/>
          <w:szCs w:val="24"/>
        </w:rPr>
        <w:t>En resumen, las adiciones plantean la protección en todo momento de la verdadera identidad del agente. Se consagra que en los eventos en que se requiera crear una identidad distinta para la agencia encubierta, la Registraduría Nacional del Estado Civil, las entidades financieras y todas las demás instituciones públicas y privadas colaborarán con la Fiscalía, teniendo en cuenta la debida reserva de la información.</w:t>
      </w:r>
    </w:p>
    <w:p w:rsidR="009258C7" w:rsidRPr="00FA7E5C" w:rsidRDefault="009258C7" w:rsidP="009258C7">
      <w:pPr>
        <w:widowControl w:val="0"/>
        <w:autoSpaceDE w:val="0"/>
        <w:autoSpaceDN w:val="0"/>
        <w:adjustRightInd w:val="0"/>
        <w:spacing w:after="0" w:line="240" w:lineRule="auto"/>
        <w:ind w:hanging="1"/>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Con respecto al testimonio de los agentes encubiertos en la etapa de juicio oral, se plantea la figura del agente de contacto como persona encargada de la rendición del testimonio del primero. La identidad del agente encubierto podrá ser revelada de manera exclusiva al juez de conocimiento si este lo solicita.</w:t>
      </w:r>
    </w:p>
    <w:p w:rsidR="009258C7" w:rsidRPr="00FA7E5C" w:rsidRDefault="009258C7" w:rsidP="009258C7">
      <w:pPr>
        <w:pStyle w:val="Sinespaciado"/>
        <w:rPr>
          <w:rFonts w:ascii="Times New Roman" w:hAnsi="Times New Roman" w:cs="Times New Roman"/>
          <w:b/>
          <w:sz w:val="24"/>
          <w:szCs w:val="24"/>
        </w:rPr>
      </w:pPr>
    </w:p>
    <w:p w:rsidR="00BC1128" w:rsidRPr="00FA7E5C" w:rsidRDefault="00BC1128" w:rsidP="009258C7">
      <w:pPr>
        <w:pStyle w:val="Sinespaciado"/>
        <w:rPr>
          <w:rFonts w:ascii="Times New Roman" w:hAnsi="Times New Roman" w:cs="Times New Roman"/>
          <w:b/>
          <w:sz w:val="24"/>
          <w:szCs w:val="24"/>
        </w:rPr>
      </w:pPr>
    </w:p>
    <w:p w:rsidR="00F06C5B" w:rsidRPr="00FA7E5C" w:rsidRDefault="00DE359F" w:rsidP="00D319AC">
      <w:pPr>
        <w:pStyle w:val="Sinespaciado"/>
        <w:numPr>
          <w:ilvl w:val="0"/>
          <w:numId w:val="1"/>
        </w:numPr>
        <w:jc w:val="both"/>
        <w:rPr>
          <w:rFonts w:ascii="Times New Roman" w:hAnsi="Times New Roman" w:cs="Times New Roman"/>
          <w:b/>
          <w:sz w:val="24"/>
          <w:szCs w:val="24"/>
        </w:rPr>
      </w:pPr>
      <w:r w:rsidRPr="00FA7E5C">
        <w:rPr>
          <w:rFonts w:ascii="Times New Roman" w:hAnsi="Times New Roman" w:cs="Times New Roman"/>
          <w:b/>
          <w:sz w:val="24"/>
          <w:szCs w:val="24"/>
        </w:rPr>
        <w:t>EL PROYECTO DE LEY TIENE OTROS ASPECTOS QUE PRETENDEN AJUSTAR LA NORMA A LOS PRONUNCIAMIENTOS JURISPRUDENCIALES Y A LAS NECESIDADES DE CELERIDAD EN EL PROCESO</w:t>
      </w:r>
      <w:r w:rsidR="00F755FE" w:rsidRPr="00FA7E5C">
        <w:rPr>
          <w:rFonts w:ascii="Times New Roman" w:hAnsi="Times New Roman" w:cs="Times New Roman"/>
          <w:b/>
          <w:sz w:val="24"/>
          <w:szCs w:val="24"/>
        </w:rPr>
        <w:t xml:space="preserve"> PENAL </w:t>
      </w:r>
    </w:p>
    <w:p w:rsidR="00BC1128" w:rsidRPr="00FA7E5C" w:rsidRDefault="00BC1128" w:rsidP="00893B6C">
      <w:pPr>
        <w:pStyle w:val="Sinespaciado"/>
        <w:ind w:firstLine="360"/>
        <w:rPr>
          <w:rFonts w:ascii="Times New Roman" w:hAnsi="Times New Roman" w:cs="Times New Roman"/>
          <w:b/>
          <w:sz w:val="24"/>
          <w:szCs w:val="24"/>
        </w:rPr>
      </w:pPr>
    </w:p>
    <w:p w:rsidR="00893B6C" w:rsidRPr="00FA7E5C" w:rsidRDefault="00BC1128" w:rsidP="00893B6C">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Existen dentro del proyecto de ley otras modificaciones especialmente tendientes a las necesidades de celeridad del proceso y a la actualización jurisprudencial del Código de Procedimiento Penal. </w:t>
      </w:r>
      <w:r w:rsidR="00893B6C" w:rsidRPr="00FA7E5C">
        <w:rPr>
          <w:rFonts w:ascii="Times New Roman" w:hAnsi="Times New Roman" w:cs="Times New Roman"/>
          <w:sz w:val="24"/>
          <w:szCs w:val="24"/>
        </w:rPr>
        <w:t xml:space="preserve">En este sentido, a continuación se exponen las principales propuestas tendientes a la consecución de estos objetivos. </w:t>
      </w:r>
    </w:p>
    <w:p w:rsidR="00BC1128" w:rsidRPr="00FA7E5C" w:rsidRDefault="00BC1128" w:rsidP="000B2B33">
      <w:pPr>
        <w:pStyle w:val="Sinespaciado"/>
        <w:rPr>
          <w:rFonts w:ascii="Times New Roman" w:hAnsi="Times New Roman" w:cs="Times New Roman"/>
          <w:b/>
          <w:sz w:val="24"/>
          <w:szCs w:val="24"/>
        </w:rPr>
      </w:pPr>
    </w:p>
    <w:p w:rsidR="00DE359F" w:rsidRPr="00FA7E5C" w:rsidRDefault="00DE359F" w:rsidP="00004289">
      <w:pPr>
        <w:pStyle w:val="Sinespaciado"/>
        <w:numPr>
          <w:ilvl w:val="0"/>
          <w:numId w:val="4"/>
        </w:numPr>
        <w:rPr>
          <w:rFonts w:ascii="Times New Roman" w:hAnsi="Times New Roman" w:cs="Times New Roman"/>
          <w:b/>
          <w:sz w:val="24"/>
          <w:szCs w:val="24"/>
        </w:rPr>
      </w:pPr>
      <w:r w:rsidRPr="00FA7E5C">
        <w:rPr>
          <w:rFonts w:ascii="Times New Roman" w:hAnsi="Times New Roman" w:cs="Times New Roman"/>
          <w:b/>
          <w:sz w:val="24"/>
          <w:szCs w:val="24"/>
        </w:rPr>
        <w:t xml:space="preserve">El efecto devolutivo como clausula general </w:t>
      </w:r>
      <w:r w:rsidR="001B12B5" w:rsidRPr="00FA7E5C">
        <w:rPr>
          <w:rFonts w:ascii="Times New Roman" w:hAnsi="Times New Roman" w:cs="Times New Roman"/>
          <w:b/>
          <w:sz w:val="24"/>
          <w:szCs w:val="24"/>
        </w:rPr>
        <w:t>para el recurso de apelación</w:t>
      </w:r>
    </w:p>
    <w:p w:rsidR="006F40DD" w:rsidRPr="00FA7E5C" w:rsidRDefault="006F40DD" w:rsidP="006F40DD">
      <w:pPr>
        <w:pStyle w:val="Sinespaciado"/>
        <w:rPr>
          <w:rFonts w:ascii="Times New Roman" w:hAnsi="Times New Roman" w:cs="Times New Roman"/>
          <w:b/>
          <w:sz w:val="24"/>
          <w:szCs w:val="24"/>
        </w:rPr>
      </w:pPr>
    </w:p>
    <w:p w:rsidR="006F40DD" w:rsidRPr="00FA7E5C" w:rsidRDefault="006F40DD" w:rsidP="00382B28">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Carece la Ley 906 de 2004 de un clausulado que determine el efecto del recurso de apelación en aquellos casos no contemplados en el artículo 177 del Código de Procedimiento Penal. Así, aun cuando para la mayoría de autos que pueden presentarse en el sistema hay una clasificación sobre si el recurso de apelación sobre estos debe otorgarse en el efecto suspensivo o devolutivo, aquellos autos innominados en la norma, no poseían un efecto establecido en la ley.</w:t>
      </w:r>
    </w:p>
    <w:p w:rsidR="006F40DD" w:rsidRPr="00FA7E5C" w:rsidRDefault="006F40DD" w:rsidP="00382B28">
      <w:pPr>
        <w:spacing w:after="0" w:line="240" w:lineRule="auto"/>
        <w:jc w:val="both"/>
        <w:rPr>
          <w:rFonts w:ascii="Times New Roman" w:hAnsi="Times New Roman" w:cs="Times New Roman"/>
          <w:sz w:val="24"/>
          <w:szCs w:val="24"/>
        </w:rPr>
      </w:pPr>
    </w:p>
    <w:p w:rsidR="006F40DD" w:rsidRPr="00FA7E5C" w:rsidRDefault="006F40DD" w:rsidP="00382B28">
      <w:pPr>
        <w:spacing w:after="0" w:line="240" w:lineRule="auto"/>
        <w:jc w:val="both"/>
        <w:rPr>
          <w:rFonts w:ascii="Times New Roman" w:hAnsi="Times New Roman" w:cs="Times New Roman"/>
          <w:sz w:val="24"/>
          <w:szCs w:val="24"/>
        </w:rPr>
      </w:pPr>
      <w:r w:rsidRPr="00FA7E5C">
        <w:rPr>
          <w:rFonts w:ascii="Times New Roman" w:hAnsi="Times New Roman" w:cs="Times New Roman"/>
          <w:sz w:val="24"/>
          <w:szCs w:val="24"/>
        </w:rPr>
        <w:t xml:space="preserve">Teniendo en cuenta dicha comisión legislativa, se ha introducido una clausula general que indica que todos los otros recursos de apelación, concedidos contra autos no denominados en el artículo 177, se concederán en el efecto devolutivo. El efecto devolutivo, genera que aun cuando se conceda la apelación, el proceso sigue su curso corriente haciendo que la decisión que se tomó en el auto correspondiente, no se suspenda, sino que produzca los efectos correspondientes. </w:t>
      </w:r>
    </w:p>
    <w:p w:rsidR="006F40DD" w:rsidRPr="00FA7E5C" w:rsidRDefault="006F40DD" w:rsidP="00382B28">
      <w:pPr>
        <w:spacing w:after="0" w:line="240" w:lineRule="auto"/>
        <w:jc w:val="both"/>
        <w:rPr>
          <w:rFonts w:ascii="Times New Roman" w:hAnsi="Times New Roman" w:cs="Times New Roman"/>
          <w:sz w:val="24"/>
          <w:szCs w:val="24"/>
        </w:rPr>
      </w:pPr>
    </w:p>
    <w:p w:rsidR="006F40DD" w:rsidRPr="00FA7E5C" w:rsidRDefault="00382B28" w:rsidP="00382B28">
      <w:pPr>
        <w:pStyle w:val="Sinespaciado"/>
        <w:jc w:val="both"/>
        <w:rPr>
          <w:rFonts w:ascii="Times New Roman" w:hAnsi="Times New Roman" w:cs="Times New Roman"/>
          <w:b/>
          <w:sz w:val="24"/>
          <w:szCs w:val="24"/>
        </w:rPr>
      </w:pPr>
      <w:r w:rsidRPr="00FA7E5C">
        <w:rPr>
          <w:rFonts w:ascii="Times New Roman" w:hAnsi="Times New Roman" w:cs="Times New Roman"/>
          <w:sz w:val="24"/>
          <w:szCs w:val="24"/>
        </w:rPr>
        <w:t xml:space="preserve">El efecto suspensivo debe ser la excepción dentro de los sistemas legales, ya que genera que la decisión adoptada no se haga efectiva inmediatamente y por lo tanto, que el curso del proceso no siga. Esto genera además, ineficiencia en el sistema ya que las apelaciones </w:t>
      </w:r>
      <w:r w:rsidRPr="00FA7E5C">
        <w:rPr>
          <w:rFonts w:ascii="Times New Roman" w:hAnsi="Times New Roman" w:cs="Times New Roman"/>
          <w:sz w:val="24"/>
          <w:szCs w:val="24"/>
        </w:rPr>
        <w:lastRenderedPageBreak/>
        <w:t xml:space="preserve">tienen tiempos de duración importantes que generan una especie de paralización del proceso. </w:t>
      </w:r>
    </w:p>
    <w:p w:rsidR="007A7D72" w:rsidRPr="00FA7E5C" w:rsidRDefault="007A7D72" w:rsidP="007A7D72">
      <w:pPr>
        <w:pStyle w:val="Sinespaciado"/>
        <w:ind w:left="1440"/>
        <w:rPr>
          <w:rFonts w:ascii="Times New Roman" w:hAnsi="Times New Roman" w:cs="Times New Roman"/>
          <w:b/>
          <w:sz w:val="24"/>
          <w:szCs w:val="24"/>
        </w:rPr>
      </w:pPr>
    </w:p>
    <w:p w:rsidR="001B12B5" w:rsidRPr="00FA7E5C" w:rsidRDefault="001B12B5" w:rsidP="00004289">
      <w:pPr>
        <w:pStyle w:val="Sinespaciado"/>
        <w:numPr>
          <w:ilvl w:val="0"/>
          <w:numId w:val="4"/>
        </w:numPr>
        <w:rPr>
          <w:rFonts w:ascii="Times New Roman" w:hAnsi="Times New Roman" w:cs="Times New Roman"/>
          <w:b/>
          <w:sz w:val="24"/>
          <w:szCs w:val="24"/>
        </w:rPr>
      </w:pPr>
      <w:r w:rsidRPr="00FA7E5C">
        <w:rPr>
          <w:rFonts w:ascii="Times New Roman" w:hAnsi="Times New Roman" w:cs="Times New Roman"/>
          <w:b/>
          <w:sz w:val="24"/>
          <w:szCs w:val="24"/>
        </w:rPr>
        <w:t>Mecanismos de introducción de pruebas documentales en juicio que permitan la adecuada valoración sin dilatar el proceso</w:t>
      </w:r>
    </w:p>
    <w:p w:rsidR="00DF5A0F" w:rsidRPr="00FA7E5C" w:rsidRDefault="00DF5A0F" w:rsidP="00DF5A0F">
      <w:pPr>
        <w:pStyle w:val="Sinespaciado"/>
        <w:rPr>
          <w:rFonts w:ascii="Times New Roman" w:hAnsi="Times New Roman" w:cs="Times New Roman"/>
          <w:b/>
          <w:sz w:val="24"/>
          <w:szCs w:val="24"/>
        </w:rPr>
      </w:pPr>
    </w:p>
    <w:p w:rsidR="00DF5A0F" w:rsidRPr="00FA7E5C" w:rsidRDefault="00DF5A0F" w:rsidP="00DF5A0F">
      <w:pPr>
        <w:pStyle w:val="Sinespaciado"/>
        <w:rPr>
          <w:rFonts w:ascii="Times New Roman" w:hAnsi="Times New Roman" w:cs="Times New Roman"/>
          <w:sz w:val="24"/>
          <w:szCs w:val="24"/>
        </w:rPr>
      </w:pPr>
      <w:r w:rsidRPr="00FA7E5C">
        <w:rPr>
          <w:rFonts w:ascii="Times New Roman" w:hAnsi="Times New Roman" w:cs="Times New Roman"/>
          <w:sz w:val="24"/>
          <w:szCs w:val="24"/>
        </w:rPr>
        <w:t xml:space="preserve">Dado el enfoque que tiene la presente reforma, en el sentido de hacer más eficaz el sistema penal acusatorio, se ha identificado un problema, que en la práctica, genera dificultades importantes y sobre todo, hace que las audiencias sean más largas de lo que deberían ser. Se trata de la introducción de pruebas documentales en el juicio. </w:t>
      </w:r>
    </w:p>
    <w:p w:rsidR="00DF5A0F" w:rsidRPr="00FA7E5C" w:rsidRDefault="00DF5A0F" w:rsidP="00DF5A0F">
      <w:pPr>
        <w:pStyle w:val="Sinespaciado"/>
        <w:rPr>
          <w:rFonts w:ascii="Times New Roman" w:hAnsi="Times New Roman" w:cs="Times New Roman"/>
          <w:sz w:val="24"/>
          <w:szCs w:val="24"/>
        </w:rPr>
      </w:pPr>
    </w:p>
    <w:p w:rsidR="00DF5A0F" w:rsidRPr="00FA7E5C" w:rsidRDefault="00DF5A0F" w:rsidP="00DF5A0F">
      <w:pPr>
        <w:pStyle w:val="Sinespaciado"/>
        <w:rPr>
          <w:rFonts w:ascii="Times New Roman" w:hAnsi="Times New Roman" w:cs="Times New Roman"/>
          <w:sz w:val="24"/>
          <w:szCs w:val="24"/>
        </w:rPr>
      </w:pPr>
      <w:r w:rsidRPr="00FA7E5C">
        <w:rPr>
          <w:rFonts w:ascii="Times New Roman" w:hAnsi="Times New Roman" w:cs="Times New Roman"/>
          <w:sz w:val="24"/>
          <w:szCs w:val="24"/>
        </w:rPr>
        <w:t xml:space="preserve">En la práctica, cuando se pretende introducir una prueba documental extensa al juicio, en muchas ocasiones, se da lectura a la totalidad de la misma, haciendo que la diligencia se torne tediosa y poco eficiente. Teniendo en cuenta lo anterior, se ha planteado que en los eventos en que se vayan a presentar documentos en juicio, estos deben </w:t>
      </w:r>
      <w:r w:rsidR="006F40DD" w:rsidRPr="00FA7E5C">
        <w:rPr>
          <w:rFonts w:ascii="Times New Roman" w:hAnsi="Times New Roman" w:cs="Times New Roman"/>
          <w:sz w:val="24"/>
          <w:szCs w:val="24"/>
        </w:rPr>
        <w:t>circunscribirse</w:t>
      </w:r>
      <w:r w:rsidRPr="00FA7E5C">
        <w:rPr>
          <w:rFonts w:ascii="Times New Roman" w:hAnsi="Times New Roman" w:cs="Times New Roman"/>
          <w:sz w:val="24"/>
          <w:szCs w:val="24"/>
        </w:rPr>
        <w:t xml:space="preserve"> a los hechos respecto a los cuales el juez haya considerado pertinentes, conducentes y necesarios al momento de decretar la prueba. </w:t>
      </w:r>
    </w:p>
    <w:p w:rsidR="00DF5A0F" w:rsidRPr="00FA7E5C" w:rsidRDefault="00DF5A0F" w:rsidP="00DF5A0F">
      <w:pPr>
        <w:pStyle w:val="Sinespaciado"/>
        <w:rPr>
          <w:rFonts w:ascii="Times New Roman" w:hAnsi="Times New Roman" w:cs="Times New Roman"/>
          <w:sz w:val="24"/>
          <w:szCs w:val="24"/>
        </w:rPr>
      </w:pPr>
    </w:p>
    <w:p w:rsidR="00DF5A0F" w:rsidRPr="00FA7E5C" w:rsidRDefault="00DF5A0F" w:rsidP="00DF5A0F">
      <w:pPr>
        <w:pStyle w:val="Sinespaciado"/>
        <w:rPr>
          <w:rFonts w:ascii="Times New Roman" w:hAnsi="Times New Roman" w:cs="Times New Roman"/>
          <w:sz w:val="24"/>
          <w:szCs w:val="24"/>
        </w:rPr>
      </w:pPr>
      <w:r w:rsidRPr="00FA7E5C">
        <w:rPr>
          <w:rFonts w:ascii="Times New Roman" w:hAnsi="Times New Roman" w:cs="Times New Roman"/>
          <w:sz w:val="24"/>
          <w:szCs w:val="24"/>
        </w:rPr>
        <w:t xml:space="preserve">En aquellos casos en que no se haya decretado la lectura del documento, su proyección o exhibición, los sujetos e intervinientes limitaran su contrainterrogatorio a los aspectos planteados por la parte en favor de quien se decretó la prueba. </w:t>
      </w:r>
    </w:p>
    <w:p w:rsidR="0031129F" w:rsidRPr="00FA7E5C" w:rsidRDefault="0031129F" w:rsidP="0031129F">
      <w:pPr>
        <w:pStyle w:val="Sinespaciado"/>
        <w:rPr>
          <w:rFonts w:ascii="Times New Roman" w:hAnsi="Times New Roman" w:cs="Times New Roman"/>
          <w:b/>
          <w:sz w:val="24"/>
          <w:szCs w:val="24"/>
        </w:rPr>
      </w:pPr>
    </w:p>
    <w:p w:rsidR="007A7D72" w:rsidRPr="00FA7E5C" w:rsidRDefault="007A7D72" w:rsidP="007A7D72">
      <w:pPr>
        <w:pStyle w:val="Sinespaciado"/>
        <w:rPr>
          <w:rFonts w:ascii="Times New Roman" w:hAnsi="Times New Roman" w:cs="Times New Roman"/>
          <w:b/>
          <w:sz w:val="24"/>
          <w:szCs w:val="24"/>
        </w:rPr>
      </w:pPr>
    </w:p>
    <w:p w:rsidR="001B12B5" w:rsidRPr="00FA7E5C" w:rsidRDefault="001B12B5" w:rsidP="00004289">
      <w:pPr>
        <w:pStyle w:val="Sinespaciado"/>
        <w:numPr>
          <w:ilvl w:val="0"/>
          <w:numId w:val="4"/>
        </w:numPr>
        <w:rPr>
          <w:rFonts w:ascii="Times New Roman" w:hAnsi="Times New Roman" w:cs="Times New Roman"/>
          <w:b/>
          <w:sz w:val="24"/>
          <w:szCs w:val="24"/>
        </w:rPr>
      </w:pPr>
      <w:r w:rsidRPr="00FA7E5C">
        <w:rPr>
          <w:rFonts w:ascii="Times New Roman" w:hAnsi="Times New Roman" w:cs="Times New Roman"/>
          <w:b/>
          <w:sz w:val="24"/>
          <w:szCs w:val="24"/>
        </w:rPr>
        <w:t xml:space="preserve">La inclusión de la participación de la víctima en el proceso penal como interviniente especial en algunas diligencias </w:t>
      </w:r>
    </w:p>
    <w:p w:rsidR="00893B6C" w:rsidRPr="00FA7E5C" w:rsidRDefault="00893B6C" w:rsidP="00893B6C">
      <w:pPr>
        <w:pStyle w:val="Sinespaciado"/>
        <w:rPr>
          <w:rFonts w:ascii="Times New Roman" w:hAnsi="Times New Roman" w:cs="Times New Roman"/>
          <w:sz w:val="24"/>
          <w:szCs w:val="24"/>
        </w:rPr>
      </w:pPr>
    </w:p>
    <w:p w:rsidR="00893B6C" w:rsidRPr="00FA7E5C" w:rsidRDefault="00893B6C" w:rsidP="00893B6C">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La víctima siempre ha hecho parte de nuestro proceso penal acusatorio, sin embargo, su incidencia en la actuación ha ido cambiando a lo largo del tiempo. Podría decirse que pasamos de una víctima menos activa y más espectadora a aquella que por virtud de los desarrollos jurisprudenciales juega un rol activo y protagónico dentro del proceso penal. </w:t>
      </w:r>
    </w:p>
    <w:p w:rsidR="00893B6C" w:rsidRPr="00FA7E5C" w:rsidRDefault="00893B6C" w:rsidP="00893B6C">
      <w:pPr>
        <w:pStyle w:val="Sinespaciado"/>
        <w:jc w:val="both"/>
        <w:rPr>
          <w:rFonts w:ascii="Times New Roman" w:hAnsi="Times New Roman" w:cs="Times New Roman"/>
          <w:sz w:val="24"/>
          <w:szCs w:val="24"/>
        </w:rPr>
      </w:pPr>
    </w:p>
    <w:p w:rsidR="00893B6C" w:rsidRPr="00FA7E5C" w:rsidRDefault="00893B6C" w:rsidP="00893B6C">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 xml:space="preserve">Tras un análisis minucioso de la jurisprudencia constitucional sobre la materia, se ha pretendido </w:t>
      </w:r>
      <w:proofErr w:type="spellStart"/>
      <w:r w:rsidRPr="00FA7E5C">
        <w:rPr>
          <w:rFonts w:ascii="Times New Roman" w:hAnsi="Times New Roman" w:cs="Times New Roman"/>
          <w:sz w:val="24"/>
          <w:szCs w:val="24"/>
        </w:rPr>
        <w:t>positivizar</w:t>
      </w:r>
      <w:proofErr w:type="spellEnd"/>
      <w:r w:rsidRPr="00FA7E5C">
        <w:rPr>
          <w:rFonts w:ascii="Times New Roman" w:hAnsi="Times New Roman" w:cs="Times New Roman"/>
          <w:sz w:val="24"/>
          <w:szCs w:val="24"/>
        </w:rPr>
        <w:t xml:space="preserve"> todas aquellas disposiciones que han pretendido dar un papel </w:t>
      </w:r>
      <w:r w:rsidR="00325B20" w:rsidRPr="00FA7E5C">
        <w:rPr>
          <w:rFonts w:ascii="Times New Roman" w:hAnsi="Times New Roman" w:cs="Times New Roman"/>
          <w:sz w:val="24"/>
          <w:szCs w:val="24"/>
        </w:rPr>
        <w:t>más</w:t>
      </w:r>
      <w:r w:rsidRPr="00FA7E5C">
        <w:rPr>
          <w:rFonts w:ascii="Times New Roman" w:hAnsi="Times New Roman" w:cs="Times New Roman"/>
          <w:sz w:val="24"/>
          <w:szCs w:val="24"/>
        </w:rPr>
        <w:t xml:space="preserve"> preponderante a la víctima como interviniente dentro del proceso penal. </w:t>
      </w:r>
    </w:p>
    <w:p w:rsidR="00864776" w:rsidRPr="00FA7E5C" w:rsidRDefault="00864776" w:rsidP="00893B6C">
      <w:pPr>
        <w:pStyle w:val="Sinespaciado"/>
        <w:jc w:val="both"/>
        <w:rPr>
          <w:rFonts w:ascii="Times New Roman" w:hAnsi="Times New Roman" w:cs="Times New Roman"/>
          <w:sz w:val="24"/>
          <w:szCs w:val="24"/>
        </w:rPr>
      </w:pPr>
    </w:p>
    <w:p w:rsidR="00325B20" w:rsidRPr="00FA7E5C" w:rsidRDefault="00325B20" w:rsidP="00893B6C">
      <w:pPr>
        <w:pStyle w:val="Sinespaciado"/>
        <w:jc w:val="both"/>
        <w:rPr>
          <w:rFonts w:ascii="Times New Roman" w:hAnsi="Times New Roman" w:cs="Times New Roman"/>
          <w:sz w:val="24"/>
          <w:szCs w:val="24"/>
        </w:rPr>
      </w:pPr>
      <w:r w:rsidRPr="00FA7E5C">
        <w:rPr>
          <w:rFonts w:ascii="Times New Roman" w:hAnsi="Times New Roman" w:cs="Times New Roman"/>
          <w:sz w:val="24"/>
          <w:szCs w:val="24"/>
        </w:rPr>
        <w:t>A modo de ejemplo podemos ver la introducción de la víctima como sujeto facultado para solicitar la conexidad procesal en las mismas condiciones de la defensa</w:t>
      </w:r>
      <w:r w:rsidRPr="00FA7E5C">
        <w:rPr>
          <w:rStyle w:val="Refdenotaalpie"/>
          <w:rFonts w:ascii="Times New Roman" w:hAnsi="Times New Roman" w:cs="Times New Roman"/>
          <w:sz w:val="24"/>
          <w:szCs w:val="24"/>
        </w:rPr>
        <w:footnoteReference w:id="76"/>
      </w:r>
      <w:r w:rsidRPr="00FA7E5C">
        <w:rPr>
          <w:rFonts w:ascii="Times New Roman" w:hAnsi="Times New Roman" w:cs="Times New Roman"/>
          <w:sz w:val="24"/>
          <w:szCs w:val="24"/>
        </w:rPr>
        <w:t xml:space="preserve">, en el marco de la audiencia preparatoria y por las causales contempladas en la ley. De igual manera, se introduce la potestad a la víctima para que al igual que la defensa y la fiscalía, pueda solicitar la práctica de pruebas anticipada ante el juez de control de garantías. </w:t>
      </w:r>
      <w:r w:rsidRPr="00FA7E5C">
        <w:rPr>
          <w:rStyle w:val="Refdenotaalpie"/>
          <w:rFonts w:ascii="Times New Roman" w:hAnsi="Times New Roman" w:cs="Times New Roman"/>
          <w:sz w:val="24"/>
          <w:szCs w:val="24"/>
        </w:rPr>
        <w:footnoteReference w:id="77"/>
      </w:r>
      <w:r w:rsidRPr="00FA7E5C">
        <w:rPr>
          <w:rFonts w:ascii="Times New Roman" w:hAnsi="Times New Roman" w:cs="Times New Roman"/>
          <w:sz w:val="24"/>
          <w:szCs w:val="24"/>
        </w:rPr>
        <w:t xml:space="preserve">También se </w:t>
      </w:r>
      <w:r w:rsidR="00234F6B" w:rsidRPr="00FA7E5C">
        <w:rPr>
          <w:rFonts w:ascii="Times New Roman" w:hAnsi="Times New Roman" w:cs="Times New Roman"/>
          <w:sz w:val="24"/>
          <w:szCs w:val="24"/>
        </w:rPr>
        <w:t xml:space="preserve">hace referencia a </w:t>
      </w:r>
      <w:r w:rsidR="0031129F" w:rsidRPr="00FA7E5C">
        <w:rPr>
          <w:rFonts w:ascii="Times New Roman" w:hAnsi="Times New Roman" w:cs="Times New Roman"/>
          <w:sz w:val="24"/>
          <w:szCs w:val="24"/>
        </w:rPr>
        <w:t xml:space="preserve">la posibilidad de la víctima para solicitar al juez que se ordene la reclusión </w:t>
      </w:r>
      <w:r w:rsidR="0031129F" w:rsidRPr="00FA7E5C">
        <w:rPr>
          <w:rFonts w:ascii="Times New Roman" w:hAnsi="Times New Roman" w:cs="Times New Roman"/>
          <w:sz w:val="24"/>
          <w:szCs w:val="24"/>
        </w:rPr>
        <w:lastRenderedPageBreak/>
        <w:t xml:space="preserve">en establecimiento carcelario cuando el imputado o acusado incumpliere alguna de las condiciones de la detención domiciliaria. </w:t>
      </w:r>
      <w:r w:rsidR="0031129F" w:rsidRPr="00FA7E5C">
        <w:rPr>
          <w:rStyle w:val="Refdenotaalpie"/>
          <w:rFonts w:ascii="Times New Roman" w:hAnsi="Times New Roman" w:cs="Times New Roman"/>
          <w:sz w:val="24"/>
          <w:szCs w:val="24"/>
        </w:rPr>
        <w:footnoteReference w:id="78"/>
      </w:r>
    </w:p>
    <w:p w:rsidR="008456C8" w:rsidRPr="00FA7E5C" w:rsidRDefault="008456C8" w:rsidP="00893B6C">
      <w:pPr>
        <w:pStyle w:val="Sinespaciado"/>
        <w:jc w:val="both"/>
        <w:rPr>
          <w:rFonts w:ascii="Times New Roman" w:hAnsi="Times New Roman" w:cs="Times New Roman"/>
          <w:sz w:val="24"/>
          <w:szCs w:val="24"/>
        </w:rPr>
      </w:pPr>
    </w:p>
    <w:p w:rsidR="008456C8" w:rsidRPr="00FA7E5C" w:rsidRDefault="0031129F" w:rsidP="00893B6C">
      <w:pPr>
        <w:pStyle w:val="Sinespaciado"/>
        <w:jc w:val="both"/>
        <w:rPr>
          <w:rFonts w:ascii="Times New Roman" w:hAnsi="Times New Roman" w:cs="Times New Roman"/>
          <w:sz w:val="24"/>
          <w:szCs w:val="24"/>
        </w:rPr>
      </w:pPr>
      <w:r w:rsidRPr="00FA7E5C">
        <w:rPr>
          <w:rFonts w:ascii="Times New Roman" w:eastAsia="Times New Roman" w:hAnsi="Times New Roman" w:cs="Times New Roman"/>
          <w:sz w:val="24"/>
          <w:szCs w:val="24"/>
          <w:lang w:eastAsia="es-CO"/>
        </w:rPr>
        <w:t xml:space="preserve">De esta manera, a lo largo del articulado de la reforma se han incorporado las reglas jurisprudenciales relativas a los derechos de las víctimas con el fin de hacerlos más palpables y concretos para los operadores jurídicos. Se debe tener en cuenta que la consagración normativa no ha sido la fuente de este tipo de derechos, ha sido la jurisprudencia la que los ha resaltado pero la positivización de los mismos es sin duda, también, un avance importante en lo relativo a los derechos de las víctimas en el proceso penal. </w:t>
      </w:r>
    </w:p>
    <w:p w:rsidR="00325B20" w:rsidRPr="00FA7E5C" w:rsidRDefault="00325B20" w:rsidP="00893B6C">
      <w:pPr>
        <w:pStyle w:val="Sinespaciado"/>
        <w:jc w:val="both"/>
        <w:rPr>
          <w:rFonts w:ascii="Times New Roman" w:hAnsi="Times New Roman" w:cs="Times New Roman"/>
          <w:sz w:val="24"/>
          <w:szCs w:val="24"/>
        </w:rPr>
      </w:pPr>
    </w:p>
    <w:p w:rsidR="007A7D72" w:rsidRPr="00FA7E5C" w:rsidRDefault="007A7D72" w:rsidP="007A7D72">
      <w:pPr>
        <w:pStyle w:val="Sinespaciado"/>
        <w:rPr>
          <w:rFonts w:ascii="Times New Roman" w:hAnsi="Times New Roman" w:cs="Times New Roman"/>
          <w:b/>
          <w:sz w:val="24"/>
          <w:szCs w:val="24"/>
        </w:rPr>
      </w:pPr>
    </w:p>
    <w:p w:rsidR="001B12B5" w:rsidRPr="00FA7E5C" w:rsidRDefault="001B12B5" w:rsidP="00004289">
      <w:pPr>
        <w:pStyle w:val="Sinespaciado"/>
        <w:numPr>
          <w:ilvl w:val="0"/>
          <w:numId w:val="4"/>
        </w:numPr>
        <w:rPr>
          <w:rFonts w:ascii="Times New Roman" w:hAnsi="Times New Roman" w:cs="Times New Roman"/>
          <w:b/>
          <w:sz w:val="24"/>
          <w:szCs w:val="24"/>
        </w:rPr>
      </w:pPr>
      <w:r w:rsidRPr="00FA7E5C">
        <w:rPr>
          <w:rFonts w:ascii="Times New Roman" w:hAnsi="Times New Roman" w:cs="Times New Roman"/>
          <w:b/>
          <w:sz w:val="24"/>
          <w:szCs w:val="24"/>
        </w:rPr>
        <w:t xml:space="preserve">Nuevos mecanismos para evitar el aplazamiento reiterado de audiencias y el uso de maniobras dilatorias por las partes e intervinientes en el proceso penal </w:t>
      </w:r>
    </w:p>
    <w:p w:rsidR="0031129F" w:rsidRPr="00FA7E5C" w:rsidRDefault="0031129F" w:rsidP="0031129F">
      <w:pPr>
        <w:pStyle w:val="Sinespaciado"/>
        <w:rPr>
          <w:rFonts w:ascii="Times New Roman" w:hAnsi="Times New Roman" w:cs="Times New Roman"/>
          <w:b/>
          <w:sz w:val="24"/>
          <w:szCs w:val="24"/>
        </w:rPr>
      </w:pPr>
    </w:p>
    <w:p w:rsidR="0031129F" w:rsidRPr="00FA7E5C" w:rsidRDefault="0031129F" w:rsidP="0031129F">
      <w:pPr>
        <w:spacing w:after="0" w:line="240" w:lineRule="auto"/>
        <w:jc w:val="both"/>
        <w:rPr>
          <w:rFonts w:ascii="Times New Roman" w:eastAsia="Times New Roman" w:hAnsi="Times New Roman" w:cs="Times New Roman"/>
          <w:sz w:val="24"/>
          <w:szCs w:val="24"/>
          <w:lang w:eastAsia="es-CO"/>
        </w:rPr>
      </w:pPr>
      <w:r w:rsidRPr="00FA7E5C">
        <w:rPr>
          <w:rFonts w:ascii="Times New Roman" w:hAnsi="Times New Roman" w:cs="Times New Roman"/>
          <w:sz w:val="24"/>
          <w:szCs w:val="24"/>
        </w:rPr>
        <w:t xml:space="preserve">Uno de los principales problemas, ampliamente diagnosticados, del proceso penal acusatorio, es el aplazamiento de audiencias. </w:t>
      </w:r>
      <w:r w:rsidRPr="00FA7E5C">
        <w:rPr>
          <w:rFonts w:ascii="Times New Roman" w:eastAsia="Times New Roman" w:hAnsi="Times New Roman" w:cs="Times New Roman"/>
          <w:sz w:val="24"/>
          <w:szCs w:val="24"/>
          <w:lang w:eastAsia="es-CO"/>
        </w:rPr>
        <w:t xml:space="preserve">Según la Corporación Excelencia en la Justicia, durante el año 2013, el aplazamiento de audiencias en los principales departamentos del país fue de aproximadamente el 60%. Así, en Bogotá, fue del 48%, Nariño presento aplazamientos del 70%, Tolima del 65%, </w:t>
      </w:r>
      <w:proofErr w:type="spellStart"/>
      <w:r w:rsidRPr="00FA7E5C">
        <w:rPr>
          <w:rFonts w:ascii="Times New Roman" w:eastAsia="Times New Roman" w:hAnsi="Times New Roman" w:cs="Times New Roman"/>
          <w:sz w:val="24"/>
          <w:szCs w:val="24"/>
          <w:lang w:eastAsia="es-CO"/>
        </w:rPr>
        <w:t>Caqueta</w:t>
      </w:r>
      <w:proofErr w:type="spellEnd"/>
      <w:r w:rsidRPr="00FA7E5C">
        <w:rPr>
          <w:rFonts w:ascii="Times New Roman" w:eastAsia="Times New Roman" w:hAnsi="Times New Roman" w:cs="Times New Roman"/>
          <w:sz w:val="24"/>
          <w:szCs w:val="24"/>
          <w:lang w:eastAsia="es-CO"/>
        </w:rPr>
        <w:t xml:space="preserve"> del 84% y Medellín del 46%. Los anteriores, son solo ejemplos de algunos de los departamentos del país. </w:t>
      </w:r>
    </w:p>
    <w:p w:rsidR="0031129F" w:rsidRPr="00FA7E5C" w:rsidRDefault="0031129F" w:rsidP="0031129F">
      <w:pPr>
        <w:spacing w:after="0" w:line="240" w:lineRule="auto"/>
        <w:jc w:val="both"/>
        <w:rPr>
          <w:rFonts w:ascii="Times New Roman" w:eastAsia="Times New Roman" w:hAnsi="Times New Roman" w:cs="Times New Roman"/>
          <w:sz w:val="24"/>
          <w:szCs w:val="24"/>
          <w:lang w:eastAsia="es-CO"/>
        </w:rPr>
      </w:pPr>
    </w:p>
    <w:p w:rsidR="0031129F" w:rsidRPr="00FA7E5C" w:rsidRDefault="0031129F" w:rsidP="0031129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Dentro de los análisis que se han hecho en la </w:t>
      </w:r>
      <w:r w:rsidR="00F82ADB" w:rsidRPr="00FA7E5C">
        <w:rPr>
          <w:rFonts w:ascii="Times New Roman" w:eastAsia="Times New Roman" w:hAnsi="Times New Roman" w:cs="Times New Roman"/>
          <w:sz w:val="24"/>
          <w:szCs w:val="24"/>
          <w:lang w:eastAsia="es-CO"/>
        </w:rPr>
        <w:t>práctica</w:t>
      </w:r>
      <w:r w:rsidRPr="00FA7E5C">
        <w:rPr>
          <w:rFonts w:ascii="Times New Roman" w:eastAsia="Times New Roman" w:hAnsi="Times New Roman" w:cs="Times New Roman"/>
          <w:sz w:val="24"/>
          <w:szCs w:val="24"/>
          <w:lang w:eastAsia="es-CO"/>
        </w:rPr>
        <w:t xml:space="preserve"> judicial, es claro que los aplazamientos provienen de solicitudes de cualquiera de las partes, en algunas ocasiones producto de justificaciones y en otros, como consecuencia de justificaciones aparentes pero que en la realidad camuflan una maniobra para dilatar el proceso. </w:t>
      </w:r>
    </w:p>
    <w:p w:rsidR="0031129F" w:rsidRPr="00FA7E5C" w:rsidRDefault="0031129F" w:rsidP="0031129F">
      <w:pPr>
        <w:spacing w:after="0" w:line="240" w:lineRule="auto"/>
        <w:jc w:val="both"/>
        <w:rPr>
          <w:rFonts w:ascii="Times New Roman" w:eastAsia="Times New Roman" w:hAnsi="Times New Roman" w:cs="Times New Roman"/>
          <w:sz w:val="24"/>
          <w:szCs w:val="24"/>
          <w:lang w:eastAsia="es-CO"/>
        </w:rPr>
      </w:pPr>
    </w:p>
    <w:p w:rsidR="0031129F" w:rsidRPr="00FA7E5C" w:rsidRDefault="0031129F" w:rsidP="0031129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Teniendo en cuenta lo anterior, la presente reforma ha dotado al sistema de dos normas específicas en materia de aplazamientos de audiencias, específicamente enfocadas a que los jueces, a través de sus poderes correccionales y como directores del proceso, puedan </w:t>
      </w:r>
      <w:r w:rsidR="00F82ADB" w:rsidRPr="00FA7E5C">
        <w:rPr>
          <w:rFonts w:ascii="Times New Roman" w:eastAsia="Times New Roman" w:hAnsi="Times New Roman" w:cs="Times New Roman"/>
          <w:sz w:val="24"/>
          <w:szCs w:val="24"/>
          <w:lang w:eastAsia="es-CO"/>
        </w:rPr>
        <w:t xml:space="preserve">asegurar que las audiencias penales se lleven a cabo. </w:t>
      </w:r>
    </w:p>
    <w:p w:rsidR="00F82ADB" w:rsidRPr="00FA7E5C" w:rsidRDefault="00F82ADB" w:rsidP="0031129F">
      <w:pPr>
        <w:spacing w:after="0" w:line="240" w:lineRule="auto"/>
        <w:jc w:val="both"/>
        <w:rPr>
          <w:rFonts w:ascii="Times New Roman" w:eastAsia="Times New Roman" w:hAnsi="Times New Roman" w:cs="Times New Roman"/>
          <w:sz w:val="24"/>
          <w:szCs w:val="24"/>
          <w:lang w:eastAsia="es-CO"/>
        </w:rPr>
      </w:pPr>
    </w:p>
    <w:p w:rsidR="00F82ADB" w:rsidRPr="00FA7E5C" w:rsidRDefault="00F82ADB" w:rsidP="0031129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 por ello, que se ha planteado que en aquellos casos en que el defensor de confianza no asista por más de una vez a la audiencia programada, sin importar si media justificación o no, el juez podrá terminar el poder de este abogado y procederá a nombrar uno de la Defensoría Pública. </w:t>
      </w:r>
    </w:p>
    <w:p w:rsidR="00F82ADB" w:rsidRPr="00FA7E5C" w:rsidRDefault="00F82ADB" w:rsidP="0031129F">
      <w:pPr>
        <w:spacing w:after="0" w:line="240" w:lineRule="auto"/>
        <w:jc w:val="both"/>
        <w:rPr>
          <w:rFonts w:ascii="Times New Roman" w:eastAsia="Times New Roman" w:hAnsi="Times New Roman" w:cs="Times New Roman"/>
          <w:sz w:val="24"/>
          <w:szCs w:val="24"/>
          <w:lang w:eastAsia="es-CO"/>
        </w:rPr>
      </w:pPr>
    </w:p>
    <w:p w:rsidR="00F82ADB" w:rsidRPr="00FA7E5C" w:rsidRDefault="00F82ADB" w:rsidP="0031129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el mismo sentido se ha dicho que en el marco de las audiencias preliminares, aun cuando permanece el derecho a asistir a las mismas cuando alguna de las partes resulte afectada por la decisión, se consagra que la diligencia podrá ser motivo de aplazamiento una sola vez. Luego de ello, en caso de incumplimiento,  sin importar si existen justificaciones, la audiencia preliminar se realizará sin la presencia del posible afectado y este </w:t>
      </w:r>
      <w:r w:rsidR="00DF5A0F" w:rsidRPr="00FA7E5C">
        <w:rPr>
          <w:rFonts w:ascii="Times New Roman" w:eastAsia="Times New Roman" w:hAnsi="Times New Roman" w:cs="Times New Roman"/>
          <w:sz w:val="24"/>
          <w:szCs w:val="24"/>
          <w:lang w:eastAsia="es-CO"/>
        </w:rPr>
        <w:t>quedará</w:t>
      </w:r>
      <w:r w:rsidRPr="00FA7E5C">
        <w:rPr>
          <w:rFonts w:ascii="Times New Roman" w:eastAsia="Times New Roman" w:hAnsi="Times New Roman" w:cs="Times New Roman"/>
          <w:sz w:val="24"/>
          <w:szCs w:val="24"/>
          <w:lang w:eastAsia="es-CO"/>
        </w:rPr>
        <w:t xml:space="preserve"> sometido a los efectos de la decisión. </w:t>
      </w:r>
    </w:p>
    <w:p w:rsidR="00DF5A0F" w:rsidRPr="00FA7E5C" w:rsidRDefault="00DF5A0F" w:rsidP="0031129F">
      <w:pPr>
        <w:spacing w:after="0" w:line="240" w:lineRule="auto"/>
        <w:jc w:val="both"/>
        <w:rPr>
          <w:rFonts w:ascii="Times New Roman" w:eastAsia="Times New Roman" w:hAnsi="Times New Roman" w:cs="Times New Roman"/>
          <w:sz w:val="24"/>
          <w:szCs w:val="24"/>
          <w:lang w:eastAsia="es-CO"/>
        </w:rPr>
      </w:pPr>
    </w:p>
    <w:p w:rsidR="00F82ADB" w:rsidRPr="00FA7E5C" w:rsidRDefault="0023181F" w:rsidP="0023181F">
      <w:pPr>
        <w:spacing w:after="0" w:line="240" w:lineRule="auto"/>
        <w:ind w:firstLine="708"/>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lastRenderedPageBreak/>
        <w:t>VII ACTUALIZACIÓN Y ARMONIZACIÓN DE LAS NORMAS PROCESALES PENALES.</w:t>
      </w:r>
    </w:p>
    <w:p w:rsidR="0023181F" w:rsidRPr="00FA7E5C" w:rsidRDefault="0023181F" w:rsidP="0023181F">
      <w:pPr>
        <w:spacing w:after="0" w:line="240" w:lineRule="auto"/>
        <w:ind w:firstLine="708"/>
        <w:jc w:val="both"/>
        <w:rPr>
          <w:rFonts w:ascii="Times New Roman" w:eastAsia="Times New Roman" w:hAnsi="Times New Roman" w:cs="Times New Roman"/>
          <w:b/>
          <w:sz w:val="24"/>
          <w:szCs w:val="24"/>
          <w:lang w:eastAsia="es-CO"/>
        </w:rPr>
      </w:pPr>
    </w:p>
    <w:p w:rsidR="0023181F" w:rsidRPr="00FA7E5C" w:rsidRDefault="0023181F" w:rsidP="0023181F">
      <w:pPr>
        <w:spacing w:after="0" w:line="240" w:lineRule="auto"/>
        <w:ind w:firstLine="708"/>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 de suma importancia la armonización de las normas que estando vigentes, aún pudieren generar apariencia de contrariedad, situación idéntica a la que ocurre cuando los pronunciamientos jurisprudenciales generan efectos </w:t>
      </w:r>
      <w:proofErr w:type="spellStart"/>
      <w:r w:rsidRPr="00FA7E5C">
        <w:rPr>
          <w:rFonts w:ascii="Times New Roman" w:eastAsia="Times New Roman" w:hAnsi="Times New Roman" w:cs="Times New Roman"/>
          <w:sz w:val="24"/>
          <w:szCs w:val="24"/>
          <w:lang w:eastAsia="es-CO"/>
        </w:rPr>
        <w:t>erga</w:t>
      </w:r>
      <w:proofErr w:type="spellEnd"/>
      <w:r w:rsidRPr="00FA7E5C">
        <w:rPr>
          <w:rFonts w:ascii="Times New Roman" w:eastAsia="Times New Roman" w:hAnsi="Times New Roman" w:cs="Times New Roman"/>
          <w:sz w:val="24"/>
          <w:szCs w:val="24"/>
          <w:lang w:eastAsia="es-CO"/>
        </w:rPr>
        <w:t xml:space="preserve"> </w:t>
      </w:r>
      <w:proofErr w:type="spellStart"/>
      <w:r w:rsidRPr="00FA7E5C">
        <w:rPr>
          <w:rFonts w:ascii="Times New Roman" w:eastAsia="Times New Roman" w:hAnsi="Times New Roman" w:cs="Times New Roman"/>
          <w:sz w:val="24"/>
          <w:szCs w:val="24"/>
          <w:lang w:eastAsia="es-CO"/>
        </w:rPr>
        <w:t>omnes</w:t>
      </w:r>
      <w:proofErr w:type="spellEnd"/>
      <w:r w:rsidRPr="00FA7E5C">
        <w:rPr>
          <w:rFonts w:ascii="Times New Roman" w:eastAsia="Times New Roman" w:hAnsi="Times New Roman" w:cs="Times New Roman"/>
          <w:sz w:val="24"/>
          <w:szCs w:val="24"/>
          <w:lang w:eastAsia="es-CO"/>
        </w:rPr>
        <w:t>, pues, en ambos casos, amerita una efectiva reforma del Código, que facilite su entendimiento y cabal interpretación, atendiendo no solo a la necesidad de una técnica legislativa ordenada, sino, además, a la seguridad jurídica que resulta de la concentración de las normas sobre una materia dentro del Código rector de la misma.</w:t>
      </w:r>
    </w:p>
    <w:p w:rsidR="0023181F" w:rsidRPr="00FA7E5C" w:rsidRDefault="0023181F"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Este es el caso, por ejemplo, de la Ley 1826 de 2017, en la cual, por ejemplo, se regula la figura del acusador privado frente a determinados delitos, estableciendo un verdadero derecho de las víctimas a desplazar a la Fiscalía en el ejercicio de la acción penal, sin que dicho derecho se exprese de manera efectiva en el Catálogo de facultades y prerrogativas de la víctima al interior del proceso penal.</w:t>
      </w:r>
    </w:p>
    <w:p w:rsidR="0023181F" w:rsidRPr="00FA7E5C" w:rsidRDefault="0023181F" w:rsidP="0023181F">
      <w:pPr>
        <w:spacing w:after="0" w:line="240" w:lineRule="auto"/>
        <w:jc w:val="both"/>
        <w:rPr>
          <w:rFonts w:ascii="Times New Roman" w:eastAsia="Times New Roman" w:hAnsi="Times New Roman" w:cs="Times New Roman"/>
          <w:sz w:val="24"/>
          <w:szCs w:val="24"/>
          <w:lang w:eastAsia="es-CO"/>
        </w:rPr>
      </w:pPr>
    </w:p>
    <w:p w:rsidR="00DB50B0" w:rsidRPr="00FA7E5C" w:rsidRDefault="0023181F"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En el mismo sentido, el reconocimiento del derecho de las víctimas a la cesación de los efectos del delito es la positivización legal de un derecho extensamente reconocido por la jurisprudencia nacional, entendiendo que dicha figura guarda estrecha analogía con la protección de la víctima que está establecida constitucionalmente, y cuyas reglas desarrolla e</w:t>
      </w:r>
      <w:r w:rsidR="00DB50B0" w:rsidRPr="00FA7E5C">
        <w:rPr>
          <w:rFonts w:ascii="Times New Roman" w:eastAsia="Times New Roman" w:hAnsi="Times New Roman" w:cs="Times New Roman"/>
          <w:sz w:val="24"/>
          <w:szCs w:val="24"/>
          <w:lang w:eastAsia="es-CO"/>
        </w:rPr>
        <w:t>l Código de Procedimiento Penal, derecho que el proyecto reitera posteriormente en la propuesta de reforma de la enunciación de las audiencias preliminares que hace el Art. 143.</w:t>
      </w:r>
    </w:p>
    <w:p w:rsidR="00DB50B0" w:rsidRPr="00FA7E5C" w:rsidRDefault="00DB50B0" w:rsidP="0023181F">
      <w:pPr>
        <w:spacing w:after="0" w:line="240" w:lineRule="auto"/>
        <w:jc w:val="both"/>
        <w:rPr>
          <w:rFonts w:ascii="Times New Roman" w:eastAsia="Times New Roman" w:hAnsi="Times New Roman" w:cs="Times New Roman"/>
          <w:sz w:val="24"/>
          <w:szCs w:val="24"/>
          <w:lang w:eastAsia="es-CO"/>
        </w:rPr>
      </w:pPr>
    </w:p>
    <w:p w:rsidR="0023181F" w:rsidRPr="00FA7E5C" w:rsidRDefault="00DB50B0"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Así mismo, es importante ampliar la figura de las víctimas en lo atinente a las medidas cautelares, haciendo extensivo el alcance de la norma a las víctimas indirectas, quienes, tal y como se ha reconocido en nuestra jurisprudencia, y en diferentes instrumentos internacionales, tienen unos derechos que deben ser protegidos en el curso de los procedimientos judiciales. </w:t>
      </w:r>
    </w:p>
    <w:p w:rsidR="00DB50B0" w:rsidRPr="00FA7E5C" w:rsidRDefault="00DB50B0" w:rsidP="0023181F">
      <w:pPr>
        <w:spacing w:after="0" w:line="240" w:lineRule="auto"/>
        <w:jc w:val="both"/>
        <w:rPr>
          <w:rFonts w:ascii="Times New Roman" w:eastAsia="Times New Roman" w:hAnsi="Times New Roman" w:cs="Times New Roman"/>
          <w:sz w:val="24"/>
          <w:szCs w:val="24"/>
          <w:lang w:eastAsia="es-CO"/>
        </w:rPr>
      </w:pPr>
    </w:p>
    <w:p w:rsidR="00DB50B0" w:rsidRPr="00FA7E5C" w:rsidRDefault="00DB50B0"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Del mismo modo, también es importante elevar al rango de norma positiva el derecho que tiene la defensa, en igualdad de armas con la Fiscalía, a solicitar ante el juez de control de garantías que se autorice la recolección de pruebas que pudieren vulnerar derechos fundamentales en su toma. </w:t>
      </w:r>
    </w:p>
    <w:p w:rsidR="00DB50B0" w:rsidRPr="00FA7E5C" w:rsidRDefault="00DB50B0" w:rsidP="0023181F">
      <w:pPr>
        <w:spacing w:after="0" w:line="240" w:lineRule="auto"/>
        <w:jc w:val="both"/>
        <w:rPr>
          <w:rFonts w:ascii="Times New Roman" w:eastAsia="Times New Roman" w:hAnsi="Times New Roman" w:cs="Times New Roman"/>
          <w:sz w:val="24"/>
          <w:szCs w:val="24"/>
          <w:lang w:eastAsia="es-CO"/>
        </w:rPr>
      </w:pPr>
    </w:p>
    <w:p w:rsidR="00DB50B0" w:rsidRPr="00FA7E5C" w:rsidRDefault="00DB50B0"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El proyecto prevé, además, la ampliación del conjunto de funcionarios que ejercen funciones de policía judicial de manera permanente, haciéndolo extensivo a la Unidad Administrativa Especial Migración Colombia</w:t>
      </w:r>
      <w:r w:rsidR="006B0221" w:rsidRPr="00FA7E5C">
        <w:rPr>
          <w:rFonts w:ascii="Times New Roman" w:eastAsia="Times New Roman" w:hAnsi="Times New Roman" w:cs="Times New Roman"/>
          <w:sz w:val="24"/>
          <w:szCs w:val="24"/>
          <w:lang w:eastAsia="es-CO"/>
        </w:rPr>
        <w:t xml:space="preserve">, y a los asistentes de fiscal </w:t>
      </w:r>
      <w:r w:rsidRPr="00FA7E5C">
        <w:rPr>
          <w:rFonts w:ascii="Times New Roman" w:eastAsia="Times New Roman" w:hAnsi="Times New Roman" w:cs="Times New Roman"/>
          <w:sz w:val="24"/>
          <w:szCs w:val="24"/>
          <w:lang w:eastAsia="es-CO"/>
        </w:rPr>
        <w:t xml:space="preserve">de la </w:t>
      </w:r>
      <w:proofErr w:type="spellStart"/>
      <w:r w:rsidRPr="00FA7E5C">
        <w:rPr>
          <w:rFonts w:ascii="Times New Roman" w:eastAsia="Times New Roman" w:hAnsi="Times New Roman" w:cs="Times New Roman"/>
          <w:sz w:val="24"/>
          <w:szCs w:val="24"/>
          <w:lang w:eastAsia="es-CO"/>
        </w:rPr>
        <w:t>FGN</w:t>
      </w:r>
      <w:proofErr w:type="spellEnd"/>
      <w:r w:rsidRPr="00FA7E5C">
        <w:rPr>
          <w:rFonts w:ascii="Times New Roman" w:eastAsia="Times New Roman" w:hAnsi="Times New Roman" w:cs="Times New Roman"/>
          <w:sz w:val="24"/>
          <w:szCs w:val="24"/>
          <w:lang w:eastAsia="es-CO"/>
        </w:rPr>
        <w:t xml:space="preserve">, </w:t>
      </w:r>
      <w:r w:rsidR="006B0221" w:rsidRPr="00FA7E5C">
        <w:rPr>
          <w:rFonts w:ascii="Times New Roman" w:eastAsia="Times New Roman" w:hAnsi="Times New Roman" w:cs="Times New Roman"/>
          <w:sz w:val="24"/>
          <w:szCs w:val="24"/>
          <w:lang w:eastAsia="es-CO"/>
        </w:rPr>
        <w:t xml:space="preserve">armonizando de manera acertada un reconocimiento permanente de unas funciones de policía judicial que son propias de las funciones de los cargos desempeñados. </w:t>
      </w:r>
    </w:p>
    <w:p w:rsidR="006B0221" w:rsidRPr="00FA7E5C" w:rsidRDefault="006B0221" w:rsidP="0023181F">
      <w:pPr>
        <w:spacing w:after="0" w:line="240" w:lineRule="auto"/>
        <w:jc w:val="both"/>
        <w:rPr>
          <w:rFonts w:ascii="Times New Roman" w:eastAsia="Times New Roman" w:hAnsi="Times New Roman" w:cs="Times New Roman"/>
          <w:sz w:val="24"/>
          <w:szCs w:val="24"/>
          <w:lang w:eastAsia="es-CO"/>
        </w:rPr>
      </w:pPr>
    </w:p>
    <w:p w:rsidR="006B0221" w:rsidRPr="00FA7E5C" w:rsidRDefault="006B0221"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Frente al registro personal, el proyecto solicita una reforma que se condiga con lo establecido por la doctrina constitucional, aparejando la norma procesal penal con las garantías constitucionales que tienen los ciudadanos. Idéntica apreciación se puede hacer frente a las disposiciones que prevé el proyecto de cara a la figura de la recuperación de información producto de la trasmisión de datos a través de las redes de comunicaciones. </w:t>
      </w:r>
    </w:p>
    <w:p w:rsidR="006B0221" w:rsidRPr="00FA7E5C" w:rsidRDefault="006B0221" w:rsidP="0023181F">
      <w:pPr>
        <w:spacing w:after="0" w:line="240" w:lineRule="auto"/>
        <w:jc w:val="both"/>
        <w:rPr>
          <w:rFonts w:ascii="Times New Roman" w:eastAsia="Times New Roman" w:hAnsi="Times New Roman" w:cs="Times New Roman"/>
          <w:sz w:val="24"/>
          <w:szCs w:val="24"/>
          <w:lang w:eastAsia="es-CO"/>
        </w:rPr>
      </w:pPr>
    </w:p>
    <w:p w:rsidR="006B0221" w:rsidRPr="00FA7E5C" w:rsidRDefault="006B0221"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lastRenderedPageBreak/>
        <w:t xml:space="preserve">El presente proyecto además establece el control previo de los exámenes de ADN, condiciéndose con la naturaleza de dicho mecanismo de investigación, que de suyo resulta vejatorio de derechos tan caros como la intimidad, el debido proceso, la dignidad, y la no-autoincriminación, aparejando así las disposiciones legales con el dictamen del Art. 250,3 Mayor. </w:t>
      </w:r>
    </w:p>
    <w:p w:rsidR="0006344F" w:rsidRPr="00FA7E5C" w:rsidRDefault="0006344F" w:rsidP="0023181F">
      <w:pPr>
        <w:spacing w:after="0" w:line="240" w:lineRule="auto"/>
        <w:jc w:val="both"/>
        <w:rPr>
          <w:rFonts w:ascii="Times New Roman" w:eastAsia="Times New Roman" w:hAnsi="Times New Roman" w:cs="Times New Roman"/>
          <w:sz w:val="24"/>
          <w:szCs w:val="24"/>
          <w:lang w:eastAsia="es-CO"/>
        </w:rPr>
      </w:pPr>
    </w:p>
    <w:p w:rsidR="0006344F" w:rsidRPr="00FA7E5C" w:rsidRDefault="0006344F" w:rsidP="0023181F">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La reiterada necesidad de armonización y actualización de las normas de procedimiento penal, además de los diferentes puntos específicos ya señalados, cumple a cabalidad sus efectos en pro de la seguridad jurídica en el Art. 89 del proyecto, destinado a modificar la terminología que resulta obsoleta, discrepante o incongruente con la actualidad del ordenamiento jurídico. </w:t>
      </w:r>
    </w:p>
    <w:p w:rsidR="006B0221" w:rsidRPr="00FA7E5C" w:rsidRDefault="006B0221" w:rsidP="0023181F">
      <w:pPr>
        <w:spacing w:after="0" w:line="240" w:lineRule="auto"/>
        <w:jc w:val="both"/>
        <w:rPr>
          <w:rFonts w:ascii="Times New Roman" w:eastAsia="Times New Roman" w:hAnsi="Times New Roman" w:cs="Times New Roman"/>
          <w:sz w:val="24"/>
          <w:szCs w:val="24"/>
          <w:lang w:eastAsia="es-CO"/>
        </w:rPr>
      </w:pPr>
    </w:p>
    <w:p w:rsidR="006B0221" w:rsidRPr="00FA7E5C" w:rsidRDefault="006B0221" w:rsidP="006B0221">
      <w:pPr>
        <w:pStyle w:val="Prrafodelista"/>
        <w:numPr>
          <w:ilvl w:val="0"/>
          <w:numId w:val="1"/>
        </w:numPr>
        <w:spacing w:after="0" w:line="240" w:lineRule="auto"/>
        <w:jc w:val="both"/>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JUSTICIA RESTAURATIVA.</w:t>
      </w:r>
    </w:p>
    <w:p w:rsidR="006B0221" w:rsidRPr="00FA7E5C" w:rsidRDefault="006B0221" w:rsidP="006B0221">
      <w:pPr>
        <w:spacing w:after="0" w:line="240" w:lineRule="auto"/>
        <w:jc w:val="both"/>
        <w:rPr>
          <w:rFonts w:ascii="Times New Roman" w:eastAsia="Times New Roman" w:hAnsi="Times New Roman" w:cs="Times New Roman"/>
          <w:b/>
          <w:sz w:val="24"/>
          <w:szCs w:val="24"/>
          <w:lang w:eastAsia="es-CO"/>
        </w:rPr>
      </w:pPr>
    </w:p>
    <w:p w:rsidR="006B0221" w:rsidRPr="00FA7E5C" w:rsidRDefault="006B0221" w:rsidP="006B0221">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Es uno de los pilares del presente proyecto de reforma del Código de Procedimiento Penal la implementación de un modelo de justicia restaurativa que se apareje con las realidades políticas del país que han reflejado una voluntad hacia el desuso de los mecanismos de justicia retributiva, y un favorecimiento de medidas de carácter restaurativo que no deberían dejarse como un privilegio exclusivo de los participantes del proceso de los procesos de paz con los actores en el conflicto alzados en armas. </w:t>
      </w:r>
    </w:p>
    <w:p w:rsidR="006B0221" w:rsidRPr="00FA7E5C" w:rsidRDefault="006B0221" w:rsidP="006B0221">
      <w:pPr>
        <w:spacing w:after="0" w:line="240" w:lineRule="auto"/>
        <w:jc w:val="both"/>
        <w:rPr>
          <w:rFonts w:ascii="Times New Roman" w:eastAsia="Times New Roman" w:hAnsi="Times New Roman" w:cs="Times New Roman"/>
          <w:sz w:val="24"/>
          <w:szCs w:val="24"/>
          <w:lang w:eastAsia="es-CO"/>
        </w:rPr>
      </w:pPr>
    </w:p>
    <w:p w:rsidR="006B0221" w:rsidRPr="00FA7E5C" w:rsidRDefault="006B0221" w:rsidP="006B0221">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este sentido, es de primera importancia la inclusión expresa en el Código de Procedimiento Penal de una previsión </w:t>
      </w:r>
      <w:r w:rsidR="0006344F" w:rsidRPr="00FA7E5C">
        <w:rPr>
          <w:rFonts w:ascii="Times New Roman" w:eastAsia="Times New Roman" w:hAnsi="Times New Roman" w:cs="Times New Roman"/>
          <w:sz w:val="24"/>
          <w:szCs w:val="24"/>
          <w:lang w:eastAsia="es-CO"/>
        </w:rPr>
        <w:t xml:space="preserve">sofisticada </w:t>
      </w:r>
      <w:r w:rsidRPr="00FA7E5C">
        <w:rPr>
          <w:rFonts w:ascii="Times New Roman" w:eastAsia="Times New Roman" w:hAnsi="Times New Roman" w:cs="Times New Roman"/>
          <w:sz w:val="24"/>
          <w:szCs w:val="24"/>
          <w:lang w:eastAsia="es-CO"/>
        </w:rPr>
        <w:t xml:space="preserve">de este modelo de justicia, tendiente no sólo a la satisfacción efectiva de los derechos de las víctimas, como ya se dijo, sino a la humanización de la consecuencia jurídica del reo. </w:t>
      </w:r>
    </w:p>
    <w:p w:rsidR="006B0221" w:rsidRPr="00FA7E5C" w:rsidRDefault="006B0221" w:rsidP="006B0221">
      <w:pPr>
        <w:spacing w:after="0" w:line="240" w:lineRule="auto"/>
        <w:jc w:val="both"/>
        <w:rPr>
          <w:rFonts w:ascii="Times New Roman" w:eastAsia="Times New Roman" w:hAnsi="Times New Roman" w:cs="Times New Roman"/>
          <w:sz w:val="24"/>
          <w:szCs w:val="24"/>
          <w:lang w:eastAsia="es-CO"/>
        </w:rPr>
      </w:pPr>
    </w:p>
    <w:p w:rsidR="0006344F" w:rsidRPr="00FA7E5C" w:rsidRDefault="0006344F" w:rsidP="006B0221">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En este sentido, el acercamiento en materia penal a los mecanismos alternativos de solución de conflictos, conciliación y mediación, principalmente, no sólo es una medida idónea para enfrentar la crisis de congestión judicial y carcelaria, sino que, además, es una herramienta efectiva con miras a la inclusión social del reo, que ha demostrado en diferentes latitudes ser más efectiva que la odiosa exclusión que alimenta los resentimientos sociales, y condiciona la reincidencia criminal. </w:t>
      </w:r>
    </w:p>
    <w:p w:rsidR="0006344F" w:rsidRPr="00FA7E5C" w:rsidRDefault="0006344F" w:rsidP="006B0221">
      <w:pPr>
        <w:spacing w:after="0" w:line="240" w:lineRule="auto"/>
        <w:jc w:val="both"/>
        <w:rPr>
          <w:rFonts w:ascii="Times New Roman" w:eastAsia="Times New Roman" w:hAnsi="Times New Roman" w:cs="Times New Roman"/>
          <w:sz w:val="24"/>
          <w:szCs w:val="24"/>
          <w:lang w:eastAsia="es-CO"/>
        </w:rPr>
      </w:pPr>
    </w:p>
    <w:p w:rsidR="0006344F" w:rsidRPr="00FA7E5C" w:rsidRDefault="0006344F" w:rsidP="006B0221">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La ampliación de la figura de la conciliación a los delitos no </w:t>
      </w:r>
      <w:proofErr w:type="spellStart"/>
      <w:r w:rsidRPr="00FA7E5C">
        <w:rPr>
          <w:rFonts w:ascii="Times New Roman" w:eastAsia="Times New Roman" w:hAnsi="Times New Roman" w:cs="Times New Roman"/>
          <w:sz w:val="24"/>
          <w:szCs w:val="24"/>
          <w:lang w:eastAsia="es-CO"/>
        </w:rPr>
        <w:t>querellables</w:t>
      </w:r>
      <w:proofErr w:type="spellEnd"/>
      <w:r w:rsidRPr="00FA7E5C">
        <w:rPr>
          <w:rFonts w:ascii="Times New Roman" w:eastAsia="Times New Roman" w:hAnsi="Times New Roman" w:cs="Times New Roman"/>
          <w:sz w:val="24"/>
          <w:szCs w:val="24"/>
          <w:lang w:eastAsia="es-CO"/>
        </w:rPr>
        <w:t xml:space="preserve">, con miras hacia la obtención de beneficios adjetivos, es un paso importante hacia la reconciliación, sin que implique ello una renuncia de la acción penal por parte del Estado, y que, por lo tanto, no renuncia a los intereses de la comunidad ni del Estado frente al delito, aunque sí implica una priorización de los intereses de la víctima y del indiciado. Así las cosas, la continuación irrenunciable de la acción penal genera los diferentes efectos comunicativos del derecho penal, mientras que los efectos aflictivos se equilibran por medio del acceso a los beneficios procesales, en desarrollo de un verdadero equivalente funcional de la pena en sentido estricto. </w:t>
      </w:r>
    </w:p>
    <w:p w:rsidR="00EA2D6C" w:rsidRPr="00FA7E5C" w:rsidRDefault="0006344F" w:rsidP="006B0221">
      <w:pPr>
        <w:spacing w:after="0" w:line="240" w:lineRule="auto"/>
        <w:jc w:val="both"/>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 </w:t>
      </w:r>
    </w:p>
    <w:p w:rsidR="00B33DA7" w:rsidRPr="00FA7E5C" w:rsidRDefault="00B33DA7" w:rsidP="00B33DA7">
      <w:pPr>
        <w:ind w:firstLine="708"/>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IX. ARMONIZACIÓN SISTEMÁTICA DEL PROYECTO DE LEY.</w:t>
      </w:r>
    </w:p>
    <w:p w:rsidR="00B33DA7" w:rsidRPr="00FA7E5C" w:rsidRDefault="00B33DA7" w:rsidP="00B33DA7">
      <w:pPr>
        <w:jc w:val="both"/>
        <w:rPr>
          <w:rFonts w:ascii="Times New Roman" w:eastAsia="Times New Roman" w:hAnsi="Times New Roman" w:cs="Times New Roman"/>
          <w:b/>
          <w:sz w:val="24"/>
          <w:szCs w:val="24"/>
          <w:lang w:eastAsia="es-CO"/>
        </w:rPr>
      </w:pPr>
    </w:p>
    <w:p w:rsidR="00206753" w:rsidRPr="00FA7E5C" w:rsidRDefault="00B33DA7" w:rsidP="00FA7E5C">
      <w:pPr>
        <w:jc w:val="both"/>
        <w:rPr>
          <w:rFonts w:ascii="Times New Roman" w:eastAsia="Times New Roman" w:hAnsi="Times New Roman" w:cs="Times New Roman"/>
          <w:sz w:val="24"/>
          <w:szCs w:val="24"/>
        </w:rPr>
      </w:pPr>
      <w:r w:rsidRPr="00FA7E5C">
        <w:rPr>
          <w:rFonts w:ascii="Times New Roman" w:eastAsia="Times New Roman" w:hAnsi="Times New Roman" w:cs="Times New Roman"/>
          <w:sz w:val="24"/>
          <w:szCs w:val="24"/>
          <w:lang w:eastAsia="es-CO"/>
        </w:rPr>
        <w:lastRenderedPageBreak/>
        <w:t xml:space="preserve">En aras de garantizar un comportamiento legislativo coherente y acorde a la política criminal que ha venido trazándose durante los últimos años en el Estado colombiano, </w:t>
      </w:r>
      <w:r w:rsidR="00A62E17" w:rsidRPr="00FA7E5C">
        <w:rPr>
          <w:rFonts w:ascii="Times New Roman" w:eastAsia="Times New Roman" w:hAnsi="Times New Roman" w:cs="Times New Roman"/>
          <w:sz w:val="24"/>
          <w:szCs w:val="24"/>
          <w:lang w:eastAsia="es-CO"/>
        </w:rPr>
        <w:t>este proyecto de ley se ha construido de manera amónica con respecto de la Ley 1908 de 2018, puesto que se entiende la necesidad de establecer un procedimiento penal sistemático y vinculado con el catálogo de prioridades que se han establecido para la materialización de políticas públicas que garanticen los fines constitucionales de nuestro Estado; así como de las leyes anteriores a esta propuesta que pretendan materializar dichos objetivos.</w:t>
      </w:r>
      <w:bookmarkStart w:id="5" w:name="_gjdgxs"/>
      <w:bookmarkStart w:id="6" w:name="2nusc19"/>
      <w:bookmarkStart w:id="7" w:name="48pi1tg"/>
      <w:bookmarkStart w:id="8" w:name="1opuj5n"/>
      <w:bookmarkStart w:id="9" w:name="39kk8xu"/>
      <w:bookmarkStart w:id="10" w:name="pkwqa1"/>
      <w:bookmarkStart w:id="11" w:name="2afmg28"/>
      <w:bookmarkStart w:id="12" w:name="3vac5uf"/>
      <w:bookmarkStart w:id="13" w:name="1baon6m"/>
      <w:bookmarkStart w:id="14" w:name="2w5ecyt"/>
      <w:bookmarkStart w:id="15" w:name="4h042r0"/>
      <w:bookmarkStart w:id="16" w:name="1x0gk37"/>
      <w:bookmarkStart w:id="17" w:name="3hv69ve"/>
      <w:bookmarkStart w:id="18" w:name="xvir7l"/>
      <w:bookmarkStart w:id="19" w:name="2iq8gzs"/>
      <w:bookmarkStart w:id="20" w:name="43ky6rz"/>
      <w:bookmarkStart w:id="21" w:name="1jlao46"/>
      <w:bookmarkStart w:id="22" w:name="34g0dwd"/>
      <w:bookmarkStart w:id="23" w:name="kgcv8k"/>
      <w:bookmarkStart w:id="24" w:name="25b2l0r"/>
      <w:bookmarkStart w:id="25" w:name="3q5sasy"/>
      <w:bookmarkStart w:id="26" w:name="1664s55"/>
      <w:bookmarkStart w:id="27" w:name="2r0uhxc"/>
      <w:bookmarkStart w:id="28" w:name="4bvk7pj"/>
      <w:bookmarkStart w:id="29" w:name="1rvwp1q"/>
      <w:bookmarkStart w:id="30" w:name="3cqmetx"/>
      <w:bookmarkStart w:id="31" w:name="sqyw64"/>
      <w:bookmarkStart w:id="32" w:name="2dlolyb"/>
      <w:bookmarkStart w:id="33" w:name="3ygebqi"/>
      <w:bookmarkStart w:id="34" w:name="1egqt2p"/>
      <w:bookmarkStart w:id="35" w:name="2zbgiuw"/>
      <w:bookmarkStart w:id="36" w:name="4k668n3"/>
      <w:bookmarkStart w:id="37" w:name="206ipza"/>
      <w:bookmarkStart w:id="38" w:name="3l18frh"/>
      <w:bookmarkStart w:id="39" w:name="111kx3o"/>
      <w:bookmarkStart w:id="40" w:name="2lwamvv"/>
      <w:bookmarkStart w:id="41" w:name="46r0co2"/>
      <w:bookmarkStart w:id="42" w:name="1mrcu09"/>
      <w:bookmarkStart w:id="43" w:name="37m2jsg"/>
      <w:bookmarkStart w:id="44" w:name="nmf14n"/>
      <w:bookmarkStart w:id="45" w:name="28h4qwu"/>
      <w:bookmarkStart w:id="46" w:name="3tbugp1"/>
      <w:bookmarkStart w:id="47" w:name="19c6y18"/>
      <w:bookmarkStart w:id="48" w:name="2u6wntf"/>
      <w:bookmarkStart w:id="49" w:name="4f1mdlm"/>
      <w:bookmarkStart w:id="50" w:name="1v1yuxt"/>
      <w:bookmarkStart w:id="51" w:name="3fwokq0"/>
      <w:bookmarkStart w:id="52" w:name="vx1227"/>
      <w:bookmarkStart w:id="53" w:name="2grqrue"/>
      <w:bookmarkStart w:id="54" w:name="41mghml"/>
      <w:bookmarkStart w:id="55" w:name="1hmsyys"/>
      <w:bookmarkStart w:id="56" w:name="32hioqz"/>
      <w:bookmarkStart w:id="57" w:name="ihv636"/>
      <w:bookmarkStart w:id="58" w:name="23ckvvd"/>
      <w:bookmarkStart w:id="59" w:name="3o7alnk"/>
      <w:bookmarkStart w:id="60" w:name="147n2zr"/>
      <w:bookmarkStart w:id="61" w:name="2p2csry"/>
      <w:bookmarkStart w:id="62" w:name="1pxezwc"/>
      <w:bookmarkStart w:id="63" w:name="3as4poj"/>
      <w:bookmarkStart w:id="64" w:name="qsh70q"/>
      <w:bookmarkStart w:id="65" w:name="2bn6wsx"/>
      <w:bookmarkStart w:id="66" w:name="3whwml4"/>
      <w:bookmarkStart w:id="67" w:name="1ci93xb"/>
      <w:bookmarkStart w:id="68" w:name="2xcytpi"/>
      <w:bookmarkStart w:id="69" w:name="4i7ojhp"/>
      <w:bookmarkStart w:id="70" w:name="1y810tw"/>
      <w:bookmarkStart w:id="71" w:name="3j2qqm3"/>
      <w:bookmarkStart w:id="72" w:name="z337ya"/>
      <w:bookmarkStart w:id="73" w:name="2jxsxqh"/>
      <w:bookmarkStart w:id="74" w:name="44sinio"/>
      <w:bookmarkStart w:id="75" w:name="1ksv4uv"/>
      <w:bookmarkStart w:id="76" w:name="35nkun2"/>
      <w:bookmarkStart w:id="77" w:name="lnxbz9"/>
      <w:bookmarkStart w:id="78" w:name="26in1rg"/>
      <w:bookmarkStart w:id="79" w:name="3rdcrjn"/>
      <w:bookmarkStart w:id="80" w:name="17dp8vu"/>
      <w:bookmarkStart w:id="81" w:name="2s8eyo1"/>
      <w:bookmarkStart w:id="82" w:name="4d34og8"/>
      <w:bookmarkStart w:id="83" w:name="1t3h5sf"/>
      <w:bookmarkStart w:id="84" w:name="3dy6vkm"/>
      <w:bookmarkStart w:id="85" w:name="tyjcwt"/>
      <w:bookmarkStart w:id="86" w:name="2et92p0"/>
      <w:bookmarkStart w:id="87" w:name="3znysh7"/>
      <w:bookmarkStart w:id="88" w:name="1fob9te"/>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C59CD" w:rsidRPr="00FA7E5C" w:rsidRDefault="00DC59CD" w:rsidP="00DC59CD">
      <w:pPr>
        <w:rPr>
          <w:rFonts w:ascii="Times New Roman" w:eastAsia="Times New Roman" w:hAnsi="Times New Roman" w:cs="Times New Roman"/>
          <w:sz w:val="24"/>
          <w:szCs w:val="24"/>
          <w:lang w:eastAsia="es-CO"/>
        </w:rPr>
      </w:pPr>
      <w:r w:rsidRPr="00FA7E5C">
        <w:rPr>
          <w:rFonts w:ascii="Times New Roman" w:eastAsia="Times New Roman" w:hAnsi="Times New Roman" w:cs="Times New Roman"/>
          <w:sz w:val="24"/>
          <w:szCs w:val="24"/>
          <w:lang w:eastAsia="es-CO"/>
        </w:rPr>
        <w:t xml:space="preserve">Cordialmente, </w:t>
      </w:r>
    </w:p>
    <w:p w:rsidR="00DC59CD" w:rsidRPr="00FA7E5C" w:rsidRDefault="00DC59CD" w:rsidP="00DC59CD">
      <w:pPr>
        <w:rPr>
          <w:rFonts w:ascii="Times New Roman" w:eastAsia="Times New Roman" w:hAnsi="Times New Roman" w:cs="Times New Roman"/>
          <w:sz w:val="24"/>
          <w:szCs w:val="24"/>
          <w:lang w:eastAsia="es-CO"/>
        </w:rPr>
      </w:pPr>
    </w:p>
    <w:p w:rsidR="00DC59CD" w:rsidRPr="00FA7E5C" w:rsidRDefault="00DC59CD" w:rsidP="00DC59CD">
      <w:pPr>
        <w:rPr>
          <w:rFonts w:ascii="Times New Roman" w:eastAsia="Times New Roman" w:hAnsi="Times New Roman" w:cs="Times New Roman"/>
          <w:sz w:val="24"/>
          <w:szCs w:val="24"/>
          <w:lang w:eastAsia="es-CO"/>
        </w:rPr>
      </w:pPr>
    </w:p>
    <w:p w:rsidR="00DC59CD" w:rsidRPr="00FA7E5C" w:rsidRDefault="00DC59CD" w:rsidP="00DC59CD">
      <w:pPr>
        <w:spacing w:after="0" w:line="240" w:lineRule="auto"/>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 xml:space="preserve">ROY BARRERAS </w:t>
      </w:r>
    </w:p>
    <w:p w:rsidR="00DC59CD" w:rsidRPr="00FA7E5C" w:rsidRDefault="00DC59CD" w:rsidP="00DC59CD">
      <w:pPr>
        <w:spacing w:after="0" w:line="240" w:lineRule="auto"/>
        <w:rPr>
          <w:rFonts w:ascii="Times New Roman" w:eastAsia="Times New Roman" w:hAnsi="Times New Roman" w:cs="Times New Roman"/>
          <w:b/>
          <w:sz w:val="24"/>
          <w:szCs w:val="24"/>
          <w:lang w:eastAsia="es-CO"/>
        </w:rPr>
      </w:pPr>
      <w:r w:rsidRPr="00FA7E5C">
        <w:rPr>
          <w:rFonts w:ascii="Times New Roman" w:eastAsia="Times New Roman" w:hAnsi="Times New Roman" w:cs="Times New Roman"/>
          <w:b/>
          <w:sz w:val="24"/>
          <w:szCs w:val="24"/>
          <w:lang w:eastAsia="es-CO"/>
        </w:rPr>
        <w:t xml:space="preserve">Senador  </w:t>
      </w:r>
    </w:p>
    <w:p w:rsidR="00DC59CD" w:rsidRPr="00FA7E5C" w:rsidRDefault="00DC59CD" w:rsidP="00DC59CD">
      <w:pPr>
        <w:spacing w:after="0" w:line="240" w:lineRule="auto"/>
        <w:jc w:val="both"/>
        <w:rPr>
          <w:rFonts w:ascii="Times New Roman" w:eastAsia="Times New Roman" w:hAnsi="Times New Roman" w:cs="Times New Roman"/>
          <w:sz w:val="24"/>
          <w:szCs w:val="24"/>
          <w:lang w:eastAsia="es-CO"/>
        </w:rPr>
      </w:pPr>
    </w:p>
    <w:p w:rsidR="00206753" w:rsidRPr="00FA7E5C" w:rsidRDefault="00206753" w:rsidP="006B0221">
      <w:pPr>
        <w:spacing w:after="0" w:line="240" w:lineRule="auto"/>
        <w:jc w:val="both"/>
        <w:rPr>
          <w:rFonts w:ascii="Times New Roman" w:eastAsia="Times New Roman" w:hAnsi="Times New Roman" w:cs="Times New Roman"/>
          <w:sz w:val="24"/>
          <w:szCs w:val="24"/>
        </w:rPr>
      </w:pPr>
    </w:p>
    <w:sectPr w:rsidR="00206753" w:rsidRPr="00FA7E5C" w:rsidSect="00864151">
      <w:head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AF4" w:rsidRDefault="00CD4AF4" w:rsidP="008C2728">
      <w:pPr>
        <w:spacing w:after="0" w:line="240" w:lineRule="auto"/>
      </w:pPr>
      <w:r>
        <w:separator/>
      </w:r>
    </w:p>
  </w:endnote>
  <w:endnote w:type="continuationSeparator" w:id="0">
    <w:p w:rsidR="00CD4AF4" w:rsidRDefault="00CD4AF4" w:rsidP="008C2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AF4" w:rsidRDefault="00CD4AF4" w:rsidP="008C2728">
      <w:pPr>
        <w:spacing w:after="0" w:line="240" w:lineRule="auto"/>
      </w:pPr>
      <w:r>
        <w:separator/>
      </w:r>
    </w:p>
  </w:footnote>
  <w:footnote w:type="continuationSeparator" w:id="0">
    <w:p w:rsidR="00CD4AF4" w:rsidRDefault="00CD4AF4" w:rsidP="008C2728">
      <w:pPr>
        <w:spacing w:after="0" w:line="240" w:lineRule="auto"/>
      </w:pPr>
      <w:r>
        <w:continuationSeparator/>
      </w:r>
    </w:p>
  </w:footnote>
  <w:footnote w:id="1">
    <w:p w:rsidR="005621EF" w:rsidRPr="00A20EC0" w:rsidRDefault="005621EF">
      <w:pPr>
        <w:pStyle w:val="Textonotapie"/>
        <w:rPr>
          <w:lang w:val="es-ES"/>
        </w:rPr>
      </w:pPr>
      <w:r w:rsidRPr="00311BB7">
        <w:rPr>
          <w:rStyle w:val="Refdenotaalpie"/>
        </w:rPr>
        <w:footnoteRef/>
      </w:r>
      <w:r w:rsidRPr="00311BB7">
        <w:t xml:space="preserve"> </w:t>
      </w:r>
      <w:r w:rsidRPr="00311BB7">
        <w:rPr>
          <w:lang w:val="es-ES"/>
        </w:rPr>
        <w:t>El Consejo Superior de Política Criminal mediante sesiones realizadas los días 13, 20,  27 de febrero y 6, 13  y 20 de marzo de 2018 analizó la viabilidad del proyecto de Ley 197 de 2017; concluyendo la viabilidad de la reforma al Código de Procedimiento Penal que acá se refiere.</w:t>
      </w:r>
    </w:p>
  </w:footnote>
  <w:footnote w:id="2">
    <w:p w:rsidR="005621EF" w:rsidRPr="0026771D" w:rsidRDefault="005621EF">
      <w:pPr>
        <w:pStyle w:val="Textonotapie"/>
        <w:rPr>
          <w:rFonts w:ascii="Times New Roman" w:hAnsi="Times New Roman" w:cs="Times New Roman"/>
        </w:rPr>
      </w:pPr>
      <w:r w:rsidRPr="0026771D">
        <w:rPr>
          <w:rStyle w:val="Refdenotaalpie"/>
          <w:rFonts w:ascii="Times New Roman" w:hAnsi="Times New Roman" w:cs="Times New Roman"/>
        </w:rPr>
        <w:footnoteRef/>
      </w:r>
      <w:r w:rsidRPr="0026771D">
        <w:rPr>
          <w:rFonts w:ascii="Times New Roman" w:hAnsi="Times New Roman" w:cs="Times New Roman"/>
        </w:rPr>
        <w:t xml:space="preserve"> </w:t>
      </w:r>
      <w:r w:rsidRPr="0026771D">
        <w:rPr>
          <w:rStyle w:val="apple-converted-space"/>
          <w:rFonts w:ascii="Times New Roman" w:hAnsi="Times New Roman" w:cs="Times New Roman"/>
          <w:color w:val="2D2D2D"/>
          <w:shd w:val="clear" w:color="auto" w:fill="FFFFFF"/>
        </w:rPr>
        <w:t> </w:t>
      </w:r>
      <w:r w:rsidRPr="0026771D">
        <w:rPr>
          <w:rFonts w:ascii="Times New Roman" w:hAnsi="Times New Roman" w:cs="Times New Roman"/>
          <w:color w:val="2D2D2D"/>
          <w:shd w:val="clear" w:color="auto" w:fill="FFFFFF"/>
        </w:rPr>
        <w:t>Sentencia C-426 de 2002, M.P. Rodrigo Escobar Gil.</w:t>
      </w:r>
    </w:p>
  </w:footnote>
  <w:footnote w:id="3">
    <w:p w:rsidR="005621EF" w:rsidRPr="0026771D" w:rsidRDefault="005621EF" w:rsidP="0026771D">
      <w:pPr>
        <w:shd w:val="clear" w:color="auto" w:fill="FFFFFF"/>
        <w:ind w:right="51"/>
        <w:jc w:val="both"/>
        <w:textAlignment w:val="baseline"/>
        <w:rPr>
          <w:rFonts w:ascii="Times New Roman" w:eastAsia="Times New Roman" w:hAnsi="Times New Roman" w:cs="Times New Roman"/>
          <w:color w:val="2D2D2D"/>
          <w:sz w:val="20"/>
          <w:szCs w:val="20"/>
          <w:lang w:eastAsia="es-CO"/>
        </w:rPr>
      </w:pPr>
      <w:r w:rsidRPr="0026771D">
        <w:rPr>
          <w:rStyle w:val="Refdenotaalpie"/>
          <w:rFonts w:ascii="Times New Roman" w:hAnsi="Times New Roman" w:cs="Times New Roman"/>
          <w:sz w:val="20"/>
          <w:szCs w:val="20"/>
        </w:rPr>
        <w:footnoteRef/>
      </w:r>
      <w:r w:rsidRPr="0026771D">
        <w:rPr>
          <w:rFonts w:ascii="Times New Roman" w:hAnsi="Times New Roman" w:cs="Times New Roman"/>
          <w:sz w:val="20"/>
          <w:szCs w:val="20"/>
        </w:rPr>
        <w:t xml:space="preserve"> </w:t>
      </w:r>
      <w:r w:rsidRPr="0026771D">
        <w:rPr>
          <w:rFonts w:ascii="Times New Roman" w:hAnsi="Times New Roman" w:cs="Times New Roman"/>
          <w:bCs/>
          <w:color w:val="000000"/>
          <w:sz w:val="20"/>
          <w:szCs w:val="20"/>
          <w:bdr w:val="none" w:sz="0" w:space="0" w:color="auto" w:frame="1"/>
        </w:rPr>
        <w:t xml:space="preserve">Sentencia T-283 de 13. </w:t>
      </w:r>
      <w:r w:rsidRPr="0026771D">
        <w:rPr>
          <w:rFonts w:ascii="Times New Roman" w:eastAsia="Times New Roman" w:hAnsi="Times New Roman" w:cs="Times New Roman"/>
          <w:color w:val="2D2D2D"/>
          <w:sz w:val="20"/>
          <w:szCs w:val="20"/>
          <w:bdr w:val="none" w:sz="0" w:space="0" w:color="auto" w:frame="1"/>
          <w:lang w:eastAsia="es-CO"/>
        </w:rPr>
        <w:t xml:space="preserve">M.P. Jorge Ignacio </w:t>
      </w:r>
      <w:proofErr w:type="spellStart"/>
      <w:r w:rsidRPr="0026771D">
        <w:rPr>
          <w:rFonts w:ascii="Times New Roman" w:eastAsia="Times New Roman" w:hAnsi="Times New Roman" w:cs="Times New Roman"/>
          <w:color w:val="2D2D2D"/>
          <w:sz w:val="20"/>
          <w:szCs w:val="20"/>
          <w:bdr w:val="none" w:sz="0" w:space="0" w:color="auto" w:frame="1"/>
          <w:lang w:eastAsia="es-CO"/>
        </w:rPr>
        <w:t>Pretelt</w:t>
      </w:r>
      <w:proofErr w:type="spellEnd"/>
      <w:r w:rsidRPr="0026771D">
        <w:rPr>
          <w:rFonts w:ascii="Times New Roman" w:eastAsia="Times New Roman" w:hAnsi="Times New Roman" w:cs="Times New Roman"/>
          <w:color w:val="2D2D2D"/>
          <w:sz w:val="20"/>
          <w:szCs w:val="20"/>
          <w:bdr w:val="none" w:sz="0" w:space="0" w:color="auto" w:frame="1"/>
          <w:lang w:eastAsia="es-CO"/>
        </w:rPr>
        <w:t xml:space="preserve"> </w:t>
      </w:r>
      <w:proofErr w:type="spellStart"/>
      <w:r w:rsidRPr="0026771D">
        <w:rPr>
          <w:rFonts w:ascii="Times New Roman" w:eastAsia="Times New Roman" w:hAnsi="Times New Roman" w:cs="Times New Roman"/>
          <w:color w:val="2D2D2D"/>
          <w:sz w:val="20"/>
          <w:szCs w:val="20"/>
          <w:bdr w:val="none" w:sz="0" w:space="0" w:color="auto" w:frame="1"/>
          <w:lang w:eastAsia="es-CO"/>
        </w:rPr>
        <w:t>Chaljub</w:t>
      </w:r>
      <w:proofErr w:type="spellEnd"/>
    </w:p>
    <w:p w:rsidR="005621EF" w:rsidRDefault="005621EF" w:rsidP="00DC1CE9">
      <w:pPr>
        <w:pStyle w:val="Textonotapie"/>
      </w:pPr>
    </w:p>
  </w:footnote>
  <w:footnote w:id="4">
    <w:p w:rsidR="005621EF" w:rsidRPr="0026771D" w:rsidRDefault="005621EF">
      <w:pPr>
        <w:pStyle w:val="Textonotapie"/>
        <w:rPr>
          <w:rFonts w:ascii="Times New Roman" w:hAnsi="Times New Roman" w:cs="Times New Roman"/>
        </w:rPr>
      </w:pPr>
      <w:r w:rsidRPr="0026771D">
        <w:rPr>
          <w:rStyle w:val="Refdenotaalpie"/>
          <w:rFonts w:ascii="Times New Roman" w:hAnsi="Times New Roman" w:cs="Times New Roman"/>
        </w:rPr>
        <w:footnoteRef/>
      </w:r>
      <w:r w:rsidRPr="0026771D">
        <w:rPr>
          <w:rFonts w:ascii="Times New Roman" w:hAnsi="Times New Roman" w:cs="Times New Roman"/>
        </w:rPr>
        <w:t xml:space="preserve"> Sentencia </w:t>
      </w:r>
      <w:hyperlink r:id="rId1" w:history="1">
        <w:r w:rsidRPr="0026771D">
          <w:rPr>
            <w:rStyle w:val="Hipervnculo"/>
            <w:rFonts w:ascii="Times New Roman" w:hAnsi="Times New Roman" w:cs="Times New Roman"/>
            <w:color w:val="auto"/>
            <w:u w:val="none"/>
            <w:bdr w:val="none" w:sz="0" w:space="0" w:color="auto" w:frame="1"/>
            <w:shd w:val="clear" w:color="auto" w:fill="FFFFFF"/>
          </w:rPr>
          <w:t>C-425 de 2008</w:t>
        </w:r>
      </w:hyperlink>
      <w:r w:rsidRPr="0026771D">
        <w:rPr>
          <w:rFonts w:ascii="Times New Roman" w:hAnsi="Times New Roman" w:cs="Times New Roman"/>
        </w:rPr>
        <w:t xml:space="preserve">. M.P. Marco Gerardo </w:t>
      </w:r>
      <w:proofErr w:type="spellStart"/>
      <w:r w:rsidRPr="0026771D">
        <w:rPr>
          <w:rFonts w:ascii="Times New Roman" w:hAnsi="Times New Roman" w:cs="Times New Roman"/>
        </w:rPr>
        <w:t>Monroy</w:t>
      </w:r>
      <w:proofErr w:type="spellEnd"/>
      <w:r w:rsidRPr="0026771D">
        <w:rPr>
          <w:rFonts w:ascii="Times New Roman" w:hAnsi="Times New Roman" w:cs="Times New Roman"/>
        </w:rPr>
        <w:t xml:space="preserve"> Cabra. </w:t>
      </w:r>
    </w:p>
  </w:footnote>
  <w:footnote w:id="5">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lo que interesa a este estudio de constitucionalidad en particular, es de reiterar aquí, que la CIDH ha establecido que los derechos a la verdad, a la justicia y a la reparación se encuentran intrínsecamente conectados, lo que significa que no puede existir reparación integral a las víctimas por la vía judicial sin garantizar el derecho a la justicia. Esto es, cuando se trate de la reparación integral por la vía judicial se debe contar con la garantía de acceso a unos recursos judiciales sencillos, efectivos y eficaces, y se debe respetar el debido proceso”. Corte Constitucional, Sentencia C- 286 de 2014. M.P. Luis Ernesto Vargas Silva. </w:t>
      </w:r>
    </w:p>
  </w:footnote>
  <w:footnote w:id="6">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“6.2.2 A nivel internacional la protección de los derechos de las víctimas se ha reconocido en múltiples convenciones, tratados, declaraciones e instrumentos: (i) la Declaración Universal de Derechos Humanos –art.8-, (</w:t>
      </w:r>
      <w:proofErr w:type="spellStart"/>
      <w:r w:rsidRPr="00C35C92">
        <w:rPr>
          <w:rFonts w:ascii="Times New Roman" w:hAnsi="Times New Roman"/>
          <w:sz w:val="18"/>
          <w:szCs w:val="18"/>
        </w:rPr>
        <w:t>ii</w:t>
      </w:r>
      <w:proofErr w:type="spellEnd"/>
      <w:r w:rsidRPr="00C35C92">
        <w:rPr>
          <w:rFonts w:ascii="Times New Roman" w:hAnsi="Times New Roman"/>
          <w:sz w:val="18"/>
          <w:szCs w:val="18"/>
        </w:rPr>
        <w:t>) la Declaración Americana de Derechos del Hombre –art.23-, (</w:t>
      </w:r>
      <w:proofErr w:type="spellStart"/>
      <w:r w:rsidRPr="00C35C92">
        <w:rPr>
          <w:rFonts w:ascii="Times New Roman" w:hAnsi="Times New Roman"/>
          <w:sz w:val="18"/>
          <w:szCs w:val="18"/>
        </w:rPr>
        <w:t>iii</w:t>
      </w:r>
      <w:proofErr w:type="spellEnd"/>
      <w:r w:rsidRPr="00C35C92">
        <w:rPr>
          <w:rFonts w:ascii="Times New Roman" w:hAnsi="Times New Roman"/>
          <w:sz w:val="18"/>
          <w:szCs w:val="18"/>
        </w:rPr>
        <w:t>) la Convención Americana sobre Derechos Humanos –arts. 8 y 25-, (</w:t>
      </w:r>
      <w:proofErr w:type="spellStart"/>
      <w:r w:rsidRPr="00C35C92">
        <w:rPr>
          <w:rFonts w:ascii="Times New Roman" w:hAnsi="Times New Roman"/>
          <w:sz w:val="18"/>
          <w:szCs w:val="18"/>
        </w:rPr>
        <w:t>iv</w:t>
      </w:r>
      <w:proofErr w:type="spellEnd"/>
      <w:r w:rsidRPr="00C35C92">
        <w:rPr>
          <w:rFonts w:ascii="Times New Roman" w:hAnsi="Times New Roman"/>
          <w:sz w:val="18"/>
          <w:szCs w:val="18"/>
        </w:rPr>
        <w:t>) el Pacto Internacional de Derechos Civiles y Políticos, (v) la Declaración sobre los Principios Fundamentales de Justicia para las Víctimas de Delitos y del Abuso del Poder –arts.8 y 11-, (vi) el Informe Final sobre la Impunidad de los autores de violaciones de los Derechos Humanos, (</w:t>
      </w:r>
      <w:proofErr w:type="spellStart"/>
      <w:r w:rsidRPr="00C35C92">
        <w:rPr>
          <w:rFonts w:ascii="Times New Roman" w:hAnsi="Times New Roman"/>
          <w:sz w:val="18"/>
          <w:szCs w:val="18"/>
        </w:rPr>
        <w:t>vii</w:t>
      </w:r>
      <w:proofErr w:type="spellEnd"/>
      <w:r w:rsidRPr="00C35C92">
        <w:rPr>
          <w:rFonts w:ascii="Times New Roman" w:hAnsi="Times New Roman"/>
          <w:sz w:val="18"/>
          <w:szCs w:val="18"/>
        </w:rPr>
        <w:t>) el Protocolo II adicional a los Convenios de Ginebra –art. 17-, (</w:t>
      </w:r>
      <w:proofErr w:type="spellStart"/>
      <w:r w:rsidRPr="00C35C92">
        <w:rPr>
          <w:rFonts w:ascii="Times New Roman" w:hAnsi="Times New Roman"/>
          <w:sz w:val="18"/>
          <w:szCs w:val="18"/>
        </w:rPr>
        <w:t>viii</w:t>
      </w:r>
      <w:proofErr w:type="spellEnd"/>
      <w:r w:rsidRPr="00C35C92">
        <w:rPr>
          <w:rFonts w:ascii="Times New Roman" w:hAnsi="Times New Roman"/>
          <w:sz w:val="18"/>
          <w:szCs w:val="18"/>
        </w:rPr>
        <w:t xml:space="preserve">) el Conjunto de Principios para la Protección y la Promoción de los Derechos Humanos mediante la Lucha contra la Impunidad o “Principios </w:t>
      </w:r>
      <w:proofErr w:type="spellStart"/>
      <w:r w:rsidRPr="00C35C92">
        <w:rPr>
          <w:rFonts w:ascii="Times New Roman" w:hAnsi="Times New Roman"/>
          <w:sz w:val="18"/>
          <w:szCs w:val="18"/>
        </w:rPr>
        <w:t>Joinet</w:t>
      </w:r>
      <w:proofErr w:type="spellEnd"/>
      <w:r w:rsidRPr="00C35C92">
        <w:rPr>
          <w:rFonts w:ascii="Times New Roman" w:hAnsi="Times New Roman"/>
          <w:sz w:val="18"/>
          <w:szCs w:val="18"/>
        </w:rPr>
        <w:t>” –arts. 2,3,4 y 37-, (</w:t>
      </w:r>
      <w:proofErr w:type="spellStart"/>
      <w:r w:rsidRPr="00C35C92">
        <w:rPr>
          <w:rFonts w:ascii="Times New Roman" w:hAnsi="Times New Roman"/>
          <w:sz w:val="18"/>
          <w:szCs w:val="18"/>
        </w:rPr>
        <w:t>ix</w:t>
      </w:r>
      <w:proofErr w:type="spellEnd"/>
      <w:r w:rsidRPr="00C35C92">
        <w:rPr>
          <w:rFonts w:ascii="Times New Roman" w:hAnsi="Times New Roman"/>
          <w:sz w:val="18"/>
          <w:szCs w:val="18"/>
        </w:rPr>
        <w:t>) la Convención contra la Tortura y Otros Tratos o Penas Crueles, Inhumanos o Degradantes; (x) la Convención Interamericana para Prevenir y Sancionar la Tortura; (xi) la Convención Interamericana sobre la Desaparición Forzada de Personas; (</w:t>
      </w:r>
      <w:proofErr w:type="spellStart"/>
      <w:r w:rsidRPr="00C35C92">
        <w:rPr>
          <w:rFonts w:ascii="Times New Roman" w:hAnsi="Times New Roman"/>
          <w:sz w:val="18"/>
          <w:szCs w:val="18"/>
        </w:rPr>
        <w:t>xii</w:t>
      </w:r>
      <w:proofErr w:type="spellEnd"/>
      <w:r w:rsidRPr="00C35C92">
        <w:rPr>
          <w:rFonts w:ascii="Times New Roman" w:hAnsi="Times New Roman"/>
          <w:sz w:val="18"/>
          <w:szCs w:val="18"/>
        </w:rPr>
        <w:t>) la Convención para la Prevención y la Sanción del Delito de Genocidio; (</w:t>
      </w:r>
      <w:proofErr w:type="spellStart"/>
      <w:r w:rsidRPr="00C35C92">
        <w:rPr>
          <w:rFonts w:ascii="Times New Roman" w:hAnsi="Times New Roman"/>
          <w:sz w:val="18"/>
          <w:szCs w:val="18"/>
        </w:rPr>
        <w:t>xiii</w:t>
      </w:r>
      <w:proofErr w:type="spellEnd"/>
      <w:r w:rsidRPr="00C35C92">
        <w:rPr>
          <w:rFonts w:ascii="Times New Roman" w:hAnsi="Times New Roman"/>
          <w:sz w:val="18"/>
          <w:szCs w:val="18"/>
        </w:rPr>
        <w:t>) el Estatuto de la Corte Penal Internacional, (</w:t>
      </w:r>
      <w:proofErr w:type="spellStart"/>
      <w:r w:rsidRPr="00C35C92">
        <w:rPr>
          <w:rFonts w:ascii="Times New Roman" w:hAnsi="Times New Roman"/>
          <w:sz w:val="18"/>
          <w:szCs w:val="18"/>
        </w:rPr>
        <w:t>xiv</w:t>
      </w:r>
      <w:proofErr w:type="spellEnd"/>
      <w:r w:rsidRPr="00C35C92">
        <w:rPr>
          <w:rFonts w:ascii="Times New Roman" w:hAnsi="Times New Roman"/>
          <w:sz w:val="18"/>
          <w:szCs w:val="18"/>
        </w:rPr>
        <w:t>) la Declaración de Cartagena sobre Refugiados, adoptada en el seno de la Organización de Estados Americanos (OEA), (</w:t>
      </w:r>
      <w:proofErr w:type="spellStart"/>
      <w:r w:rsidRPr="00C35C92">
        <w:rPr>
          <w:rFonts w:ascii="Times New Roman" w:hAnsi="Times New Roman"/>
          <w:sz w:val="18"/>
          <w:szCs w:val="18"/>
        </w:rPr>
        <w:t>xv</w:t>
      </w:r>
      <w:proofErr w:type="spellEnd"/>
      <w:r w:rsidRPr="00C35C92">
        <w:rPr>
          <w:rFonts w:ascii="Times New Roman" w:hAnsi="Times New Roman"/>
          <w:sz w:val="18"/>
          <w:szCs w:val="18"/>
        </w:rPr>
        <w:t>) la Declaración de San José sobre Refugiados y Personas Desplazadas, y (</w:t>
      </w:r>
      <w:proofErr w:type="spellStart"/>
      <w:r w:rsidRPr="00C35C92">
        <w:rPr>
          <w:rFonts w:ascii="Times New Roman" w:hAnsi="Times New Roman"/>
          <w:sz w:val="18"/>
          <w:szCs w:val="18"/>
        </w:rPr>
        <w:t>xvi</w:t>
      </w:r>
      <w:proofErr w:type="spellEnd"/>
      <w:r w:rsidRPr="00C35C92">
        <w:rPr>
          <w:rFonts w:ascii="Times New Roman" w:hAnsi="Times New Roman"/>
          <w:sz w:val="18"/>
          <w:szCs w:val="18"/>
        </w:rPr>
        <w:t>) la Convención Sobre el Estatuto de los Refugiados de Naciones Unidas y su Protocolo Adicional, entre los más importantes.[33]”. Corte Constitucional, Sentencia C- 286 de 2014. M.P. Luis Ernesto Vargas Silva.</w:t>
      </w:r>
    </w:p>
  </w:footnote>
  <w:footnote w:id="7">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409 de 2009, M.P. Juan Carlos Henao Pérez. </w:t>
      </w:r>
    </w:p>
  </w:footnote>
  <w:footnote w:id="8">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“Pero hay que decir además que el fundamento de la protección celosa de las víctimas y de su reparación integral, siguiendo reiterada jurisprudencia[25], tiene un soporte constitucional no sólo en las disposiciones que contemplan las funciones y competencias de la Fiscalía General de la Nación (art. 250, 6º y 7º) en su redacción proveniente de las modificaciones introducidas mediante el Acto Legislativo No. 3 de 2002, sino también en la dignidad humana y la solidaridad como fundamentos del Estado social del Derecho (art. 1º), en el fin esencial del Estado de hacer efectivos los derechos y dar cumplimiento al deber de las autoridades de asegurar la vigencia de un orden justo (Preámbulo y art. 2°), en el mandato de protección de las personas que se encuentran en circunstancia de debilidad manifiesta (art. 13), en disposiciones contenidas en los tratados que hacen parte del bloque de constitucionalidad o que sirven como criterio de interpretación de los derechos (art. 93)[26], en el derecho de acceso a la justicia (art. 229) y, no hay por qué descartarlo, en el principio general del derecho de daños según el cual el dolor con pan es menos (art. 230)”. Corte Constitucional, sentencia C – 409 de 2009, M.P. Juan Carlos Henao Pérez</w:t>
      </w:r>
    </w:p>
  </w:footnote>
  <w:footnote w:id="9">
    <w:p w:rsidR="005621EF" w:rsidRPr="00C35C92" w:rsidRDefault="005621EF" w:rsidP="00117056">
      <w:pPr>
        <w:pStyle w:val="Textonotapie"/>
        <w:ind w:left="708" w:hanging="708"/>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w:t>
      </w:r>
      <w:r w:rsidRPr="00C35C92">
        <w:rPr>
          <w:rFonts w:ascii="Times New Roman" w:hAnsi="Times New Roman"/>
          <w:sz w:val="18"/>
          <w:szCs w:val="18"/>
          <w:bdr w:val="none" w:sz="0" w:space="0" w:color="auto" w:frame="1"/>
          <w:lang w:eastAsia="es-CO"/>
        </w:rPr>
        <w:t xml:space="preserve">C-823 de 2005, M.P. </w:t>
      </w:r>
      <w:proofErr w:type="spellStart"/>
      <w:r w:rsidRPr="00C35C92">
        <w:rPr>
          <w:rFonts w:ascii="Times New Roman" w:hAnsi="Times New Roman"/>
          <w:sz w:val="18"/>
          <w:szCs w:val="18"/>
          <w:bdr w:val="none" w:sz="0" w:space="0" w:color="auto" w:frame="1"/>
          <w:lang w:eastAsia="es-CO"/>
        </w:rPr>
        <w:t>Alvaro</w:t>
      </w:r>
      <w:proofErr w:type="spellEnd"/>
      <w:r w:rsidRPr="00C35C92">
        <w:rPr>
          <w:rFonts w:ascii="Times New Roman" w:hAnsi="Times New Roman"/>
          <w:sz w:val="18"/>
          <w:szCs w:val="18"/>
          <w:bdr w:val="none" w:sz="0" w:space="0" w:color="auto" w:frame="1"/>
          <w:lang w:eastAsia="es-CO"/>
        </w:rPr>
        <w:t xml:space="preserve"> Tafur </w:t>
      </w:r>
      <w:proofErr w:type="spellStart"/>
      <w:r w:rsidRPr="00C35C92">
        <w:rPr>
          <w:rFonts w:ascii="Times New Roman" w:hAnsi="Times New Roman"/>
          <w:sz w:val="18"/>
          <w:szCs w:val="18"/>
          <w:bdr w:val="none" w:sz="0" w:space="0" w:color="auto" w:frame="1"/>
          <w:lang w:eastAsia="es-CO"/>
        </w:rPr>
        <w:t>Galvis</w:t>
      </w:r>
      <w:proofErr w:type="spellEnd"/>
      <w:r w:rsidRPr="00C35C92">
        <w:rPr>
          <w:rFonts w:ascii="Times New Roman" w:hAnsi="Times New Roman"/>
          <w:sz w:val="18"/>
          <w:szCs w:val="18"/>
          <w:bdr w:val="none" w:sz="0" w:space="0" w:color="auto" w:frame="1"/>
          <w:lang w:eastAsia="es-CO"/>
        </w:rPr>
        <w:t>.</w:t>
      </w:r>
    </w:p>
  </w:footnote>
  <w:footnote w:id="10">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409 de 2009, M.P. Juan Carlos Henao Pérez</w:t>
      </w:r>
    </w:p>
  </w:footnote>
  <w:footnote w:id="11">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2">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3">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4">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T- 666 de 2015, M.P. Gloria Stella Ortiz Delgado. </w:t>
      </w:r>
    </w:p>
  </w:footnote>
  <w:footnote w:id="15">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6">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95 del Código Penal. </w:t>
      </w:r>
    </w:p>
  </w:footnote>
  <w:footnote w:id="17">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18">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19">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98 del Código Penal.</w:t>
      </w:r>
    </w:p>
  </w:footnote>
  <w:footnote w:id="20">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21">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97 del Código Penal. Sentencia C-916 de 2002 “en el entendido de que el límite de mil salarios mínimos legales mensuales se aplica exclusivamente a la parte de la indemnización de daños morales cuyo valor pecuniario no fue objetivamente determinado en el proceso penal. Este límite se aplicará a la indemnización de dichos daños cuando la fuente de la obligación sea únicamente la conducta punible”.</w:t>
      </w:r>
    </w:p>
  </w:footnote>
  <w:footnote w:id="22">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“Primero: Ejecutoria de la sentencia penal de condena (Arts. 102 y 107 Ley 906 de 2004, declarados exequibles por sentencia C-250 de 6 abril de 2011, M.P. Mauricio González Cuervo). Segundo: Solicitud de pretensión del trámite de incidente de reparación integral presentada dentro de los 30 días siguientes a la ejecutoria de la sentencia penal de condena, según los cánones 102 y 107 de la Ley 906 de 2007118. Tercero: Que se tenga legitimación procesal tanto por activa (demandante) como por pasiva (demandado). La legitimidad para actuar no es un simple requisito formal del proceso, sino un elemento inherente a la titularidad del derecho de acción y contradicción. La legitimación es presupuesto de la pretensión que debe ser analizada de o/cio por el Juez (Corte Constitucional, Sentencia T-264 de 3 abril de 2009, M.P. Luis Ernesto Vargas Silva)”. Saray Botero Nelson. “Incidente de reparación integral de perjuicios. En la Ley 906 de 2004”. </w:t>
      </w:r>
      <w:proofErr w:type="spellStart"/>
      <w:r w:rsidRPr="00C35C92">
        <w:rPr>
          <w:rFonts w:ascii="Times New Roman" w:hAnsi="Times New Roman"/>
          <w:sz w:val="18"/>
          <w:szCs w:val="18"/>
        </w:rPr>
        <w:t>Fiscalia</w:t>
      </w:r>
      <w:proofErr w:type="spellEnd"/>
      <w:r w:rsidRPr="00C35C92">
        <w:rPr>
          <w:rFonts w:ascii="Times New Roman" w:hAnsi="Times New Roman"/>
          <w:sz w:val="18"/>
          <w:szCs w:val="18"/>
        </w:rPr>
        <w:t xml:space="preserve"> General de la Nación y el Departamento de Justicia de la Embajada de los Estados Unidos de América en Colombia -</w:t>
      </w:r>
      <w:proofErr w:type="spellStart"/>
      <w:r w:rsidRPr="00C35C92">
        <w:rPr>
          <w:rFonts w:ascii="Times New Roman" w:hAnsi="Times New Roman"/>
          <w:sz w:val="18"/>
          <w:szCs w:val="18"/>
        </w:rPr>
        <w:t>DOJ</w:t>
      </w:r>
      <w:proofErr w:type="spellEnd"/>
      <w:r w:rsidRPr="00C35C92">
        <w:rPr>
          <w:rFonts w:ascii="Times New Roman" w:hAnsi="Times New Roman"/>
          <w:sz w:val="18"/>
          <w:szCs w:val="18"/>
        </w:rPr>
        <w:t xml:space="preserve">-. Bogotá, Colombia. Abril de 2013. P. 77. </w:t>
      </w:r>
    </w:p>
  </w:footnote>
  <w:footnote w:id="23">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102 del Código de Procedimiento Penal. </w:t>
      </w:r>
    </w:p>
  </w:footnote>
  <w:footnote w:id="24">
    <w:p w:rsidR="005621EF" w:rsidRPr="00C35C92" w:rsidRDefault="005621EF" w:rsidP="00117056">
      <w:pPr>
        <w:pStyle w:val="Textonotapie"/>
        <w:ind w:left="708" w:hanging="708"/>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106 del Código de Procedimiento Penal.</w:t>
      </w:r>
    </w:p>
  </w:footnote>
  <w:footnote w:id="25">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Sistema Nacional de Atención y Reparación a las víctimas. Subcomité técnico de medidas de satisfacción. “Guía de medidas de satisfacción”. Encontrado en: </w:t>
      </w:r>
      <w:hyperlink r:id="rId2" w:history="1">
        <w:r w:rsidRPr="00C35C92">
          <w:rPr>
            <w:rStyle w:val="Hipervnculo"/>
            <w:rFonts w:ascii="Times New Roman" w:hAnsi="Times New Roman"/>
            <w:sz w:val="18"/>
            <w:szCs w:val="18"/>
          </w:rPr>
          <w:t>http://gapv.mininterior.gov.co/sites/default/files/guia_de_medidas_de_satisfaccion.pdf</w:t>
        </w:r>
      </w:hyperlink>
      <w:r w:rsidRPr="00C35C92">
        <w:rPr>
          <w:rFonts w:ascii="Times New Roman" w:hAnsi="Times New Roman"/>
          <w:sz w:val="18"/>
          <w:szCs w:val="18"/>
        </w:rPr>
        <w:t xml:space="preserve">. P6. </w:t>
      </w:r>
    </w:p>
  </w:footnote>
  <w:footnote w:id="26">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T- 666 de 2015, M.P. Gloria Stella Ortiz Delgado. </w:t>
      </w:r>
    </w:p>
  </w:footnote>
  <w:footnote w:id="27">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w:t>
      </w:r>
      <w:proofErr w:type="spellStart"/>
      <w:r w:rsidRPr="00C35C92">
        <w:rPr>
          <w:rFonts w:ascii="Times New Roman" w:hAnsi="Times New Roman"/>
          <w:sz w:val="18"/>
          <w:szCs w:val="18"/>
        </w:rPr>
        <w:t>Op</w:t>
      </w:r>
      <w:proofErr w:type="spellEnd"/>
      <w:r w:rsidRPr="00C35C92">
        <w:rPr>
          <w:rFonts w:ascii="Times New Roman" w:hAnsi="Times New Roman"/>
          <w:sz w:val="18"/>
          <w:szCs w:val="18"/>
        </w:rPr>
        <w:t xml:space="preserve">. Cit. 10. </w:t>
      </w:r>
    </w:p>
  </w:footnote>
  <w:footnote w:id="28">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Corte Constitucional en la Sentencia C-579 de 2013 indicó el derecho a la justicia de las víctimas de infracciones penales y lo que recogió incluye: “(</w:t>
      </w:r>
      <w:proofErr w:type="spellStart"/>
      <w:r w:rsidRPr="00C35C92">
        <w:rPr>
          <w:rFonts w:ascii="Times New Roman" w:hAnsi="Times New Roman"/>
          <w:sz w:val="18"/>
          <w:szCs w:val="18"/>
        </w:rPr>
        <w:t>ii</w:t>
      </w:r>
      <w:proofErr w:type="spellEnd"/>
      <w:r w:rsidRPr="00C35C92">
        <w:rPr>
          <w:rFonts w:ascii="Times New Roman" w:hAnsi="Times New Roman"/>
          <w:sz w:val="18"/>
          <w:szCs w:val="18"/>
        </w:rPr>
        <w:t xml:space="preserve">) </w:t>
      </w:r>
      <w:r w:rsidRPr="00C35C92">
        <w:rPr>
          <w:rFonts w:ascii="Times New Roman" w:hAnsi="Times New Roman"/>
          <w:b/>
          <w:sz w:val="18"/>
          <w:szCs w:val="18"/>
        </w:rPr>
        <w:t>la obligación del estado de luchar contra la impunidad; (</w:t>
      </w:r>
      <w:proofErr w:type="spellStart"/>
      <w:r w:rsidRPr="00C35C92">
        <w:rPr>
          <w:rFonts w:ascii="Times New Roman" w:hAnsi="Times New Roman"/>
          <w:b/>
          <w:sz w:val="18"/>
          <w:szCs w:val="18"/>
        </w:rPr>
        <w:t>iii</w:t>
      </w:r>
      <w:proofErr w:type="spellEnd"/>
      <w:r w:rsidRPr="00C35C92">
        <w:rPr>
          <w:rFonts w:ascii="Times New Roman" w:hAnsi="Times New Roman"/>
          <w:b/>
          <w:sz w:val="18"/>
          <w:szCs w:val="18"/>
        </w:rPr>
        <w:t>) la obligación de establecer mecanismos de acceso ágil, oportuno, pronto y eficaz a la justicia para la protección judicial efectiva de los derechos de las víctimas de delitos</w:t>
      </w:r>
      <w:r w:rsidRPr="00C35C92">
        <w:rPr>
          <w:rFonts w:ascii="Times New Roman" w:hAnsi="Times New Roman"/>
          <w:sz w:val="18"/>
          <w:szCs w:val="18"/>
        </w:rPr>
        <w:t xml:space="preserve"> (…); (</w:t>
      </w:r>
      <w:proofErr w:type="spellStart"/>
      <w:r w:rsidRPr="00C35C92">
        <w:rPr>
          <w:rFonts w:ascii="Times New Roman" w:hAnsi="Times New Roman"/>
          <w:sz w:val="18"/>
          <w:szCs w:val="18"/>
        </w:rPr>
        <w:t>iv</w:t>
      </w:r>
      <w:proofErr w:type="spellEnd"/>
      <w:r w:rsidRPr="00C35C92">
        <w:rPr>
          <w:rFonts w:ascii="Times New Roman" w:hAnsi="Times New Roman"/>
          <w:sz w:val="18"/>
          <w:szCs w:val="18"/>
        </w:rPr>
        <w:t xml:space="preserve">) el deber de investigar, procesar y sancionar judicialmente a los responsables de graves violaciones de derechos humanos […]; (v) el respeto del debido proceso y de que las reglas de procedimiento se establezcan con respeto del mismo; </w:t>
      </w:r>
      <w:r w:rsidRPr="00C35C92">
        <w:rPr>
          <w:rFonts w:ascii="Times New Roman" w:hAnsi="Times New Roman"/>
          <w:b/>
          <w:sz w:val="18"/>
          <w:szCs w:val="18"/>
        </w:rPr>
        <w:t>(vi) la obligación de establecer plazos razonables para los procesos judiciales</w:t>
      </w:r>
      <w:r w:rsidRPr="00C35C92">
        <w:rPr>
          <w:rFonts w:ascii="Times New Roman" w:hAnsi="Times New Roman"/>
          <w:sz w:val="18"/>
          <w:szCs w:val="18"/>
        </w:rPr>
        <w:t>, teniendo en cuenta que los términos desproporcionadamente reducidos pueden dar lugar a la denegación del derecho a la justicia de las víctimas y a la no obtención de una justa reparación; (…) (</w:t>
      </w:r>
      <w:proofErr w:type="spellStart"/>
      <w:r w:rsidRPr="00C35C92">
        <w:rPr>
          <w:rFonts w:ascii="Times New Roman" w:hAnsi="Times New Roman"/>
          <w:sz w:val="18"/>
          <w:szCs w:val="18"/>
        </w:rPr>
        <w:t>viii</w:t>
      </w:r>
      <w:proofErr w:type="spellEnd"/>
      <w:r w:rsidRPr="00C35C92">
        <w:rPr>
          <w:rFonts w:ascii="Times New Roman" w:hAnsi="Times New Roman"/>
          <w:sz w:val="18"/>
          <w:szCs w:val="18"/>
        </w:rPr>
        <w:t>) el mandato constitucional de velar porque los mecanismos judiciales internos tanto de justicia ordinaria, como de procesos de transición hacia la paz, tales como amnistías e indultos, no conduzcan a la impunidad y al ocultamiento de la verdad; (…) (</w:t>
      </w:r>
      <w:proofErr w:type="spellStart"/>
      <w:r w:rsidRPr="00C35C92">
        <w:rPr>
          <w:rFonts w:ascii="Times New Roman" w:hAnsi="Times New Roman"/>
          <w:sz w:val="18"/>
          <w:szCs w:val="18"/>
        </w:rPr>
        <w:t>xii</w:t>
      </w:r>
      <w:proofErr w:type="spellEnd"/>
      <w:r w:rsidRPr="00C35C92">
        <w:rPr>
          <w:rFonts w:ascii="Times New Roman" w:hAnsi="Times New Roman"/>
          <w:sz w:val="18"/>
          <w:szCs w:val="18"/>
        </w:rPr>
        <w:t>) la importancia de la participación de las víctimas dentro del proceso penal, de conformidad con los artículos 29, 229 de la Constitución y 8 y 25 de la Convención Interamericana sobre Derechos Humanos; (</w:t>
      </w:r>
      <w:proofErr w:type="spellStart"/>
      <w:r w:rsidRPr="00C35C92">
        <w:rPr>
          <w:rFonts w:ascii="Times New Roman" w:hAnsi="Times New Roman"/>
          <w:sz w:val="18"/>
          <w:szCs w:val="18"/>
        </w:rPr>
        <w:t>xiii</w:t>
      </w:r>
      <w:proofErr w:type="spellEnd"/>
      <w:r w:rsidRPr="00C35C92">
        <w:rPr>
          <w:rFonts w:ascii="Times New Roman" w:hAnsi="Times New Roman"/>
          <w:sz w:val="18"/>
          <w:szCs w:val="18"/>
        </w:rPr>
        <w:t xml:space="preserve">) </w:t>
      </w:r>
      <w:r w:rsidRPr="00C35C92">
        <w:rPr>
          <w:rFonts w:ascii="Times New Roman" w:hAnsi="Times New Roman"/>
          <w:b/>
          <w:sz w:val="18"/>
          <w:szCs w:val="18"/>
        </w:rPr>
        <w:t>la garantía indispensable del derecho a la justicia para que se garantice así mismo el derecho a la verdad y a la reparación de las víctimas”</w:t>
      </w:r>
      <w:r w:rsidRPr="00C35C92">
        <w:rPr>
          <w:rFonts w:ascii="Times New Roman" w:hAnsi="Times New Roman"/>
          <w:sz w:val="18"/>
          <w:szCs w:val="18"/>
        </w:rPr>
        <w:t xml:space="preserve"> (negrilla fuera del texto).</w:t>
      </w:r>
    </w:p>
  </w:footnote>
  <w:footnote w:id="29">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XVIII. </w:t>
      </w:r>
      <w:r w:rsidRPr="00C35C92">
        <w:rPr>
          <w:rFonts w:ascii="Times New Roman" w:hAnsi="Times New Roman"/>
          <w:iCs/>
          <w:sz w:val="18"/>
          <w:szCs w:val="18"/>
        </w:rPr>
        <w:t>Declaración Americana de los Derechos y Deberes del Hombre</w:t>
      </w:r>
      <w:r w:rsidRPr="00C35C92">
        <w:rPr>
          <w:rFonts w:ascii="Times New Roman" w:hAnsi="Times New Roman"/>
          <w:sz w:val="18"/>
          <w:szCs w:val="18"/>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30">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8. </w:t>
      </w:r>
      <w:r w:rsidRPr="00C35C92">
        <w:rPr>
          <w:rFonts w:ascii="Times New Roman" w:hAnsi="Times New Roman"/>
          <w:iCs/>
          <w:sz w:val="18"/>
          <w:szCs w:val="18"/>
        </w:rPr>
        <w:t>Declaración Universal de Derechos Humanos</w:t>
      </w:r>
      <w:r w:rsidRPr="00C35C92">
        <w:rPr>
          <w:rFonts w:ascii="Times New Roman" w:hAnsi="Times New Roman"/>
          <w:sz w:val="18"/>
          <w:szCs w:val="18"/>
        </w:rPr>
        <w:t>: “Toda persona tiene derecho a un recurso efectivo, ante los tribunales nacionales competentes, que la ampare contra actos que violen sus derechos fundamentales reconocidos por la constitución o por la ley”.</w:t>
      </w:r>
    </w:p>
  </w:footnote>
  <w:footnote w:id="31">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Entre otros, Corte Interamericana de Derechos Humanos, Caso El Amparo, Reparaciones; Caso Neira Alegría y otros, Reparaciones; Caso Caballero Delgado y Santana, Reparaciones.</w:t>
      </w:r>
    </w:p>
  </w:footnote>
  <w:footnote w:id="32">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Velásquez Rodríguez. Interpretación de la Sentencia de Indemnización Compensatoria.</w:t>
      </w:r>
    </w:p>
  </w:footnote>
  <w:footnote w:id="33">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Velásquez Rodríguez, Caso </w:t>
      </w:r>
      <w:proofErr w:type="spellStart"/>
      <w:r w:rsidRPr="00C35C92">
        <w:rPr>
          <w:rFonts w:ascii="Times New Roman" w:hAnsi="Times New Roman"/>
          <w:sz w:val="18"/>
          <w:szCs w:val="18"/>
        </w:rPr>
        <w:t>Aloeboetoe</w:t>
      </w:r>
      <w:proofErr w:type="spellEnd"/>
      <w:r w:rsidRPr="00C35C92">
        <w:rPr>
          <w:rFonts w:ascii="Times New Roman" w:hAnsi="Times New Roman"/>
          <w:sz w:val="18"/>
          <w:szCs w:val="18"/>
        </w:rPr>
        <w:t xml:space="preserve"> y otros, Reparaciones.</w:t>
      </w:r>
    </w:p>
  </w:footnote>
  <w:footnote w:id="34">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w:t>
      </w:r>
      <w:proofErr w:type="spellStart"/>
      <w:r w:rsidRPr="00C35C92">
        <w:rPr>
          <w:rFonts w:ascii="Times New Roman" w:hAnsi="Times New Roman"/>
          <w:sz w:val="18"/>
          <w:szCs w:val="18"/>
        </w:rPr>
        <w:t>Aloeboetoe</w:t>
      </w:r>
      <w:proofErr w:type="spellEnd"/>
      <w:r w:rsidRPr="00C35C92">
        <w:rPr>
          <w:rFonts w:ascii="Times New Roman" w:hAnsi="Times New Roman"/>
          <w:sz w:val="18"/>
          <w:szCs w:val="18"/>
        </w:rPr>
        <w:t xml:space="preserve"> y otros, Reparaciones. Caso Velásquez Rodríguez. Caso Godínez Cruz. Caso Caballero Delgado y Santana.</w:t>
      </w:r>
    </w:p>
  </w:footnote>
  <w:footnote w:id="35">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Sentencias C- 293 de 1995 y C- 228 de 2002, entre otras.</w:t>
      </w:r>
    </w:p>
  </w:footnote>
  <w:footnote w:id="36">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El artículo 121 de la Ley 1564 de 2012, que rige los ritos de la justicia civil, establece que los procesos de reparación tendrán por regla general una duración de un año que máximo podrá extenderse por dos años. Este plazo deberá ser cumplido so pena de que el juez de conocimiento pierda la competencia sobre el asunto en cuestión y, por tanto, inicie el correspondiente proceso disciplinario para el mismo. Específicamente, la norma en cuestión establece: </w:t>
      </w:r>
    </w:p>
    <w:p w:rsidR="005621EF" w:rsidRPr="00C35C92" w:rsidRDefault="005621EF" w:rsidP="00117056">
      <w:pPr>
        <w:pStyle w:val="Textonotapie"/>
        <w:jc w:val="both"/>
        <w:rPr>
          <w:rFonts w:ascii="Times New Roman" w:hAnsi="Times New Roman"/>
          <w:sz w:val="18"/>
          <w:szCs w:val="18"/>
        </w:rPr>
      </w:pPr>
      <w:r w:rsidRPr="00C35C92">
        <w:rPr>
          <w:rFonts w:ascii="Times New Roman" w:hAnsi="Times New Roman"/>
          <w:sz w:val="18"/>
          <w:szCs w:val="18"/>
        </w:rPr>
        <w:t xml:space="preserve">“Artículo 121. DURACIÓN DEL PROCESO. Salvo interrupción o suspensión del proceso por causa legal, </w:t>
      </w:r>
      <w:r w:rsidRPr="00C35C92">
        <w:rPr>
          <w:rFonts w:ascii="Times New Roman" w:hAnsi="Times New Roman"/>
          <w:sz w:val="18"/>
          <w:szCs w:val="18"/>
          <w:u w:val="single"/>
        </w:rPr>
        <w:t>no podrá transcurrir un lapso superior a un (1) año para dictar sentencia de primera o única instancia</w:t>
      </w:r>
      <w:r w:rsidRPr="00C35C92">
        <w:rPr>
          <w:rFonts w:ascii="Times New Roman" w:hAnsi="Times New Roman"/>
          <w:sz w:val="18"/>
          <w:szCs w:val="18"/>
        </w:rPr>
        <w:t xml:space="preserve">, contado a partir de la notificación del auto </w:t>
      </w:r>
      <w:proofErr w:type="spellStart"/>
      <w:r w:rsidRPr="00C35C92">
        <w:rPr>
          <w:rFonts w:ascii="Times New Roman" w:hAnsi="Times New Roman"/>
          <w:sz w:val="18"/>
          <w:szCs w:val="18"/>
        </w:rPr>
        <w:t>admisorio</w:t>
      </w:r>
      <w:proofErr w:type="spellEnd"/>
      <w:r w:rsidRPr="00C35C92">
        <w:rPr>
          <w:rFonts w:ascii="Times New Roman" w:hAnsi="Times New Roman"/>
          <w:sz w:val="18"/>
          <w:szCs w:val="18"/>
        </w:rPr>
        <w:t xml:space="preserve"> de la demanda o mandamiento ejecutivo a la parte demandada o ejecutada. Del mismo modo, el plazo para resolver la segunda instancia, no podrá ser superior a seis (6) meses, contados a partir de la recepción del expediente en la secretaría del juzgado o tribunal.</w:t>
      </w:r>
    </w:p>
    <w:p w:rsidR="005621EF" w:rsidRPr="00C35C92" w:rsidRDefault="005621EF" w:rsidP="00117056">
      <w:pPr>
        <w:pStyle w:val="Textonotapie"/>
        <w:jc w:val="both"/>
        <w:rPr>
          <w:rFonts w:ascii="Times New Roman" w:hAnsi="Times New Roman"/>
          <w:sz w:val="18"/>
          <w:szCs w:val="18"/>
          <w:lang w:val="es-ES"/>
        </w:rPr>
      </w:pPr>
      <w:r w:rsidRPr="00C35C92">
        <w:rPr>
          <w:rFonts w:ascii="Times New Roman" w:hAnsi="Times New Roman"/>
          <w:sz w:val="18"/>
          <w:szCs w:val="18"/>
        </w:rPr>
        <w:t xml:space="preserve">Vencido el respectivo término previsto en el inciso anterior sin haberse dictado la providencia correspondiente, el funcionario perderá automáticamente competencia para conocer del proceso (…). Por lo cual, al día siguiente, remitir el expediente al juez o magistrado que le sigue en turno, quien asumirá competencia y proferirá la providencia en el término máximo de seis (6) meses”. </w:t>
      </w:r>
    </w:p>
  </w:footnote>
  <w:footnote w:id="37">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250 de la Constitución Política. </w:t>
      </w:r>
    </w:p>
  </w:footnote>
  <w:footnote w:id="38">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que la conducta sea punible se requiere que sea típica, antijurídica y culpable. La causalidad por sí sola no basta para la imputación jurídica del resultado.// Para que la conducta del inimputable sea punible se requiere que sea típica, antijurídica y se constate la inexistencia de causales de ausencia de </w:t>
      </w:r>
      <w:proofErr w:type="spellStart"/>
      <w:r w:rsidRPr="00C35C92">
        <w:rPr>
          <w:rFonts w:ascii="Times New Roman" w:hAnsi="Times New Roman"/>
          <w:sz w:val="18"/>
          <w:szCs w:val="18"/>
        </w:rPr>
        <w:t>responsabilidad”Artículo</w:t>
      </w:r>
      <w:proofErr w:type="spellEnd"/>
      <w:r w:rsidRPr="00C35C92">
        <w:rPr>
          <w:rFonts w:ascii="Times New Roman" w:hAnsi="Times New Roman"/>
          <w:sz w:val="18"/>
          <w:szCs w:val="18"/>
        </w:rPr>
        <w:t xml:space="preserve"> 9 de la Ley 599 de 2000. </w:t>
      </w:r>
    </w:p>
  </w:footnote>
  <w:footnote w:id="39">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ley penal definirá de manera inequívoca, expresa y clara las características básicas estructurales del tipo penal. // En los tipos de omisión también el deber tendrá que estar consagrado y delimitado claramente en la Constitución Política o en la ley”. Artículo 10 de la ley 599 de 2000. </w:t>
      </w:r>
    </w:p>
  </w:footnote>
  <w:footnote w:id="40">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que una conducta típica sea punible se requiere que </w:t>
      </w:r>
      <w:r w:rsidRPr="00C35C92">
        <w:rPr>
          <w:rFonts w:ascii="Times New Roman" w:hAnsi="Times New Roman"/>
          <w:sz w:val="18"/>
          <w:szCs w:val="18"/>
          <w:u w:val="single"/>
        </w:rPr>
        <w:t>lesione o ponga efectivamente en peligro</w:t>
      </w:r>
      <w:r w:rsidRPr="00C35C92">
        <w:rPr>
          <w:rFonts w:ascii="Times New Roman" w:hAnsi="Times New Roman"/>
          <w:sz w:val="18"/>
          <w:szCs w:val="18"/>
        </w:rPr>
        <w:t xml:space="preserve">, sin justa causa, el bien jurídicamente tutelado por la ley penal”. Artículo 11 de la Ley 599 de 2000. </w:t>
      </w:r>
    </w:p>
  </w:footnote>
  <w:footnote w:id="41">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“Sólo se podrá imponer penas por conductas realizadas con culpabilidad. Queda erradicada toda forma de responsabilidad objetiva”. Artículo 12 de la Ley 599 de 2000. </w:t>
      </w:r>
    </w:p>
  </w:footnote>
  <w:footnote w:id="42">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 </w:t>
      </w:r>
    </w:p>
  </w:footnote>
  <w:footnote w:id="43">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79 Ley 906 de 2004. </w:t>
      </w:r>
    </w:p>
  </w:footnote>
  <w:footnote w:id="44">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w:t>
      </w:r>
    </w:p>
  </w:footnote>
  <w:footnote w:id="45">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w:t>
      </w:r>
    </w:p>
  </w:footnote>
  <w:footnote w:id="46">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070 de 1996. M.P. Eduardo Cifuentes Muñoz. </w:t>
      </w:r>
    </w:p>
  </w:footnote>
  <w:footnote w:id="47">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 de la Constitución Política. </w:t>
      </w:r>
    </w:p>
  </w:footnote>
  <w:footnote w:id="48">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13 de la Constitución Política.</w:t>
      </w:r>
    </w:p>
  </w:footnote>
  <w:footnote w:id="49">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 de la Constitución Política.</w:t>
      </w:r>
    </w:p>
  </w:footnote>
  <w:footnote w:id="50">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5 de la Constitución Política.</w:t>
      </w:r>
    </w:p>
  </w:footnote>
  <w:footnote w:id="51">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6 de la Constitución Política.</w:t>
      </w:r>
    </w:p>
  </w:footnote>
  <w:footnote w:id="52">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11 de la Constitución Política.</w:t>
      </w:r>
    </w:p>
  </w:footnote>
  <w:footnote w:id="53">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12 de la Constitución Política.</w:t>
      </w:r>
    </w:p>
  </w:footnote>
  <w:footnote w:id="54">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214 de la Constitución Política.</w:t>
      </w:r>
    </w:p>
  </w:footnote>
  <w:footnote w:id="55">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C- 916 de 2002,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 Reiterada en: Sentencia C- 822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 </w:t>
      </w:r>
    </w:p>
  </w:footnote>
  <w:footnote w:id="56">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C-181 de 2016, M.P. Gloria Stella Ortiz Delgado. Reitera: sentencia C – 070 de 1996. M.P. Eduardo Cifuentes Muñoz.</w:t>
      </w:r>
    </w:p>
  </w:footnote>
  <w:footnote w:id="57">
    <w:p w:rsidR="005621EF" w:rsidRPr="00C35C92" w:rsidRDefault="005621EF"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C-181 de 2016, M.P. Gloria Stella Ortiz Delgado. </w:t>
      </w:r>
    </w:p>
  </w:footnote>
  <w:footnote w:id="58">
    <w:p w:rsidR="005621EF" w:rsidRPr="00C35C92" w:rsidRDefault="005621EF" w:rsidP="00117056">
      <w:pPr>
        <w:pStyle w:val="Sinespaciado"/>
        <w:jc w:val="both"/>
        <w:rPr>
          <w:rFonts w:ascii="Times New Roman" w:hAnsi="Times New Roman" w:cs="Times New Roman"/>
          <w:sz w:val="18"/>
          <w:szCs w:val="18"/>
        </w:rPr>
      </w:pPr>
      <w:r w:rsidRPr="00C35C92">
        <w:rPr>
          <w:rStyle w:val="Refdenotaalpie"/>
          <w:rFonts w:ascii="Times New Roman" w:hAnsi="Times New Roman"/>
          <w:sz w:val="18"/>
          <w:szCs w:val="18"/>
        </w:rPr>
        <w:footnoteRef/>
      </w:r>
      <w:r w:rsidRPr="00C35C92">
        <w:rPr>
          <w:rFonts w:ascii="Times New Roman" w:hAnsi="Times New Roman" w:cs="Times New Roman"/>
          <w:sz w:val="18"/>
          <w:szCs w:val="18"/>
        </w:rPr>
        <w:t xml:space="preserve"> “Con el nuevo paradigma criminológico: “</w:t>
      </w:r>
      <w:proofErr w:type="spellStart"/>
      <w:r w:rsidRPr="00C35C92">
        <w:rPr>
          <w:rFonts w:ascii="Times New Roman" w:hAnsi="Times New Roman" w:cs="Times New Roman"/>
          <w:sz w:val="18"/>
          <w:szCs w:val="18"/>
        </w:rPr>
        <w:t>labelling</w:t>
      </w:r>
      <w:proofErr w:type="spellEnd"/>
      <w:r w:rsidRPr="00C35C92">
        <w:rPr>
          <w:rFonts w:ascii="Times New Roman" w:hAnsi="Times New Roman" w:cs="Times New Roman"/>
          <w:sz w:val="18"/>
          <w:szCs w:val="18"/>
        </w:rPr>
        <w:t xml:space="preserve"> </w:t>
      </w:r>
      <w:proofErr w:type="spellStart"/>
      <w:r w:rsidRPr="00C35C92">
        <w:rPr>
          <w:rFonts w:ascii="Times New Roman" w:hAnsi="Times New Roman" w:cs="Times New Roman"/>
          <w:sz w:val="18"/>
          <w:szCs w:val="18"/>
        </w:rPr>
        <w:t>aproach</w:t>
      </w:r>
      <w:proofErr w:type="spellEnd"/>
      <w:r w:rsidRPr="00C35C92">
        <w:rPr>
          <w:rFonts w:ascii="Times New Roman" w:hAnsi="Times New Roman" w:cs="Times New Roman"/>
          <w:sz w:val="18"/>
          <w:szCs w:val="18"/>
        </w:rPr>
        <w:t>” o enfoque de la reacción social, […] los interaccionistas ponen en crisis la idea de que la desviación genera control social, se sostiene que la desviación social no es propia del acto, sino de cómo éste es considerado por los otros y que la idea inversa de que el control social (policía, sistema carcelario, etcétera) genera desviación, es igualmente sostenible.</w:t>
      </w:r>
    </w:p>
    <w:p w:rsidR="005621EF" w:rsidRPr="00C35C92" w:rsidRDefault="005621EF" w:rsidP="00117056">
      <w:pPr>
        <w:pStyle w:val="Sinespaciado"/>
        <w:jc w:val="both"/>
        <w:rPr>
          <w:rFonts w:ascii="Times New Roman" w:hAnsi="Times New Roman" w:cs="Times New Roman"/>
          <w:sz w:val="18"/>
          <w:szCs w:val="18"/>
          <w:u w:val="single"/>
        </w:rPr>
      </w:pPr>
      <w:r w:rsidRPr="00C35C92">
        <w:rPr>
          <w:rFonts w:ascii="Times New Roman" w:hAnsi="Times New Roman" w:cs="Times New Roman"/>
          <w:sz w:val="18"/>
          <w:szCs w:val="18"/>
          <w:u w:val="single"/>
        </w:rPr>
        <w:t>En el nuevo discurso de la reacción social, el fenómeno de la desviación es relativo, incluso dentro de la misma sociedad, no todos consideran desviada la misma conducta y la desviación es creada por la sociedad misma a través de un proceso de criminalización, no es consecuencia del acto cometido por una persona sino consecuencia de la interpretación y aplicación que los otros hacen de las normas, es decir, criminalizan conductas humanas. Hay un proceso de calificación, el problema pasa de conducta a reacción y una conducta se puede sancionar de distinta manera si la realiza: un negro, un blanco, una mujer, etcétera.</w:t>
      </w:r>
    </w:p>
    <w:p w:rsidR="005621EF" w:rsidRPr="00C35C92" w:rsidRDefault="005621EF" w:rsidP="00117056">
      <w:pPr>
        <w:pStyle w:val="Sinespaciado"/>
        <w:jc w:val="both"/>
        <w:rPr>
          <w:rFonts w:ascii="Times New Roman" w:hAnsi="Times New Roman" w:cs="Times New Roman"/>
          <w:sz w:val="18"/>
          <w:szCs w:val="18"/>
          <w:u w:val="single"/>
        </w:rPr>
      </w:pPr>
      <w:r w:rsidRPr="00C35C92">
        <w:rPr>
          <w:rFonts w:ascii="Times New Roman" w:hAnsi="Times New Roman" w:cs="Times New Roman"/>
          <w:sz w:val="18"/>
          <w:szCs w:val="18"/>
          <w:u w:val="single"/>
        </w:rPr>
        <w:t>Acentuándose claramente la selectividad del derecho penal. Se comprende que la posibilidad de definir las reglas y de imponerlas en la sociedad es una cuestión de poder.</w:t>
      </w:r>
    </w:p>
    <w:p w:rsidR="005621EF" w:rsidRPr="00C35C92" w:rsidRDefault="005621EF" w:rsidP="00117056">
      <w:pPr>
        <w:pStyle w:val="Textonotapie"/>
        <w:jc w:val="both"/>
        <w:rPr>
          <w:rFonts w:ascii="Times New Roman" w:hAnsi="Times New Roman"/>
          <w:sz w:val="18"/>
          <w:szCs w:val="18"/>
        </w:rPr>
      </w:pPr>
      <w:r w:rsidRPr="00C35C92">
        <w:rPr>
          <w:rFonts w:ascii="Times New Roman" w:hAnsi="Times New Roman"/>
          <w:sz w:val="18"/>
          <w:szCs w:val="18"/>
        </w:rPr>
        <w:t xml:space="preserve">En este discurso criminológico, la sociedad lleva a cabo un proceso de rotulación o etiquetamiento, la que pone en marcha mecanismos para que la persona se ajuste a la imagen que los demás tienen de ella. También se ocupa del tema de la policía y de las clases de cierto estatus social que tienen menores posibilidades de ser atrapados por las agencias de control social y ser rotulados”. </w:t>
      </w:r>
      <w:r>
        <w:rPr>
          <w:rFonts w:ascii="Times New Roman" w:hAnsi="Times New Roman"/>
          <w:sz w:val="18"/>
          <w:szCs w:val="18"/>
        </w:rPr>
        <w:t xml:space="preserve">(Subrayado fuera del texto). </w:t>
      </w:r>
      <w:proofErr w:type="spellStart"/>
      <w:r w:rsidRPr="00C35C92">
        <w:rPr>
          <w:rFonts w:ascii="Times New Roman" w:hAnsi="Times New Roman"/>
          <w:sz w:val="18"/>
          <w:szCs w:val="18"/>
        </w:rPr>
        <w:t>Nsingi</w:t>
      </w:r>
      <w:proofErr w:type="spellEnd"/>
      <w:r w:rsidRPr="00C35C92">
        <w:rPr>
          <w:rFonts w:ascii="Times New Roman" w:hAnsi="Times New Roman"/>
          <w:sz w:val="18"/>
          <w:szCs w:val="18"/>
        </w:rPr>
        <w:t xml:space="preserve"> Jorge Weber. “El desarrollo del pensamiento criminológico y su influencia en el derecho penal contemporáneo” </w:t>
      </w:r>
      <w:proofErr w:type="spellStart"/>
      <w:r w:rsidRPr="00C35C92">
        <w:rPr>
          <w:rFonts w:ascii="Times New Roman" w:hAnsi="Times New Roman"/>
          <w:sz w:val="18"/>
          <w:szCs w:val="18"/>
        </w:rPr>
        <w:t>vLex</w:t>
      </w:r>
      <w:proofErr w:type="spellEnd"/>
      <w:r w:rsidRPr="00C35C92">
        <w:rPr>
          <w:rFonts w:ascii="Times New Roman" w:hAnsi="Times New Roman"/>
          <w:sz w:val="18"/>
          <w:szCs w:val="18"/>
        </w:rPr>
        <w:t xml:space="preserve"> International - Núm. 22, Julio 2014. Estudiante de Doctorado en la Facultad de Derecho de la Universidad de la Habana. Cuba Id. </w:t>
      </w:r>
      <w:proofErr w:type="spellStart"/>
      <w:r w:rsidRPr="00C35C92">
        <w:rPr>
          <w:rFonts w:ascii="Times New Roman" w:hAnsi="Times New Roman"/>
          <w:sz w:val="18"/>
          <w:szCs w:val="18"/>
        </w:rPr>
        <w:t>vLex</w:t>
      </w:r>
      <w:proofErr w:type="spellEnd"/>
      <w:r w:rsidRPr="00C35C92">
        <w:rPr>
          <w:rFonts w:ascii="Times New Roman" w:hAnsi="Times New Roman"/>
          <w:sz w:val="18"/>
          <w:szCs w:val="18"/>
        </w:rPr>
        <w:t>: VLEX-521133303. Encontrado en: http://vlex.com/vid/desarrollo-pensamiento-influencia-neo-521133303</w:t>
      </w:r>
    </w:p>
  </w:footnote>
  <w:footnote w:id="59">
    <w:p w:rsidR="005621EF" w:rsidRPr="00C35C92" w:rsidRDefault="005621EF"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estricta protección de los bienes jurídicos y los derechos inalienables de la persona (</w:t>
      </w:r>
      <w:proofErr w:type="spellStart"/>
      <w:r w:rsidRPr="00C35C92">
        <w:rPr>
          <w:rFonts w:ascii="Times New Roman" w:hAnsi="Times New Roman"/>
          <w:sz w:val="18"/>
          <w:szCs w:val="18"/>
        </w:rPr>
        <w:t>CP</w:t>
      </w:r>
      <w:proofErr w:type="spellEnd"/>
      <w:r w:rsidRPr="00C35C92">
        <w:rPr>
          <w:rFonts w:ascii="Times New Roman" w:hAnsi="Times New Roman"/>
          <w:sz w:val="18"/>
          <w:szCs w:val="18"/>
        </w:rPr>
        <w:t xml:space="preserve"> art. 5), tornan la dignidad e integridad del infractor penal en límite de la autodefensa social. El contenido axiológico de la Constitución constituye un núcleo material que delimita el ejercicio de la función pública y la responsabilidad de las autoridades (</w:t>
      </w:r>
      <w:proofErr w:type="spellStart"/>
      <w:r w:rsidRPr="00C35C92">
        <w:rPr>
          <w:rFonts w:ascii="Times New Roman" w:hAnsi="Times New Roman"/>
          <w:sz w:val="18"/>
          <w:szCs w:val="18"/>
        </w:rPr>
        <w:t>CP</w:t>
      </w:r>
      <w:proofErr w:type="spellEnd"/>
      <w:r w:rsidRPr="00C35C92">
        <w:rPr>
          <w:rFonts w:ascii="Times New Roman" w:hAnsi="Times New Roman"/>
          <w:sz w:val="18"/>
          <w:szCs w:val="18"/>
        </w:rPr>
        <w:t xml:space="preserve"> art. 6). Con su elemento social, la Constitución complementa, en el terreno de la coerción pública, la voluntad con la razón. Sólo el uso proporcionado del poder punitivo del Estado, esto es acorde con el marco de derechos y libertades constitucionales, garantiza la vigencia de un orden social justo, fundado en la dignidad y la solidaridad humanas”. Corte Constitucional, Sentencia C- 070 de 1996, M.P. Eduardo Cifuentes Muñoz. </w:t>
      </w:r>
    </w:p>
  </w:footnote>
  <w:footnote w:id="60">
    <w:p w:rsidR="005621EF" w:rsidRPr="00C537B4" w:rsidRDefault="005621EF" w:rsidP="00CF7242">
      <w:pPr>
        <w:pStyle w:val="Sinespaciado"/>
        <w:jc w:val="both"/>
        <w:rPr>
          <w:rFonts w:ascii="Times New Roman" w:hAnsi="Times New Roman" w:cs="Times New Roman"/>
          <w:color w:val="000000" w:themeColor="text1"/>
          <w:sz w:val="20"/>
          <w:szCs w:val="20"/>
        </w:rPr>
      </w:pPr>
      <w:r w:rsidRPr="00C537B4">
        <w:rPr>
          <w:rStyle w:val="Refdenotaalpie"/>
          <w:rFonts w:ascii="Times New Roman" w:hAnsi="Times New Roman" w:cs="Times New Roman"/>
          <w:color w:val="000000" w:themeColor="text1"/>
          <w:sz w:val="20"/>
          <w:szCs w:val="20"/>
        </w:rPr>
        <w:footnoteRef/>
      </w:r>
      <w:r w:rsidRPr="00C537B4">
        <w:rPr>
          <w:rFonts w:ascii="Times New Roman" w:hAnsi="Times New Roman" w:cs="Times New Roman"/>
          <w:color w:val="000000" w:themeColor="text1"/>
          <w:sz w:val="20"/>
          <w:szCs w:val="20"/>
        </w:rPr>
        <w:t xml:space="preserve"> Cfr. Exposición de Motivos de la Ley 1760 de 2015.</w:t>
      </w:r>
    </w:p>
  </w:footnote>
  <w:footnote w:id="61">
    <w:p w:rsidR="005621EF" w:rsidRPr="00C537B4" w:rsidRDefault="005621EF" w:rsidP="00CF7242">
      <w:pPr>
        <w:pStyle w:val="Sinespaciado"/>
        <w:jc w:val="both"/>
        <w:rPr>
          <w:rFonts w:ascii="Times New Roman" w:hAnsi="Times New Roman" w:cs="Times New Roman"/>
          <w:color w:val="000000" w:themeColor="text1"/>
          <w:sz w:val="20"/>
          <w:szCs w:val="20"/>
        </w:rPr>
      </w:pPr>
      <w:r w:rsidRPr="00C537B4">
        <w:rPr>
          <w:rStyle w:val="Refdenotaalpie"/>
          <w:rFonts w:ascii="Times New Roman" w:hAnsi="Times New Roman" w:cs="Times New Roman"/>
          <w:color w:val="000000" w:themeColor="text1"/>
          <w:sz w:val="20"/>
          <w:szCs w:val="20"/>
        </w:rPr>
        <w:footnoteRef/>
      </w:r>
      <w:r w:rsidRPr="00C537B4">
        <w:rPr>
          <w:rFonts w:ascii="Times New Roman" w:hAnsi="Times New Roman" w:cs="Times New Roman"/>
          <w:color w:val="000000" w:themeColor="text1"/>
          <w:sz w:val="20"/>
          <w:szCs w:val="20"/>
        </w:rPr>
        <w:t xml:space="preserve"> “Por medio de la cual se modifican algunas disposiciones de la Ley 1760 de 2015”.</w:t>
      </w:r>
    </w:p>
  </w:footnote>
  <w:footnote w:id="62">
    <w:p w:rsidR="005621EF" w:rsidRPr="00C537B4" w:rsidRDefault="005621EF"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Los parágrafos 2 y 3 del artículo 317 de la Ley 906 de 2004 establecen lo siguiente: </w:t>
      </w:r>
    </w:p>
    <w:p w:rsidR="005621EF" w:rsidRPr="00C537B4" w:rsidRDefault="005621EF" w:rsidP="00CF7242">
      <w:pPr>
        <w:pStyle w:val="Sinespaciado"/>
        <w:jc w:val="both"/>
        <w:rPr>
          <w:rStyle w:val="baj"/>
          <w:rFonts w:ascii="Times New Roman" w:hAnsi="Times New Roman" w:cs="Times New Roman"/>
          <w:color w:val="000000" w:themeColor="text1"/>
          <w:sz w:val="20"/>
          <w:szCs w:val="20"/>
        </w:rPr>
      </w:pPr>
      <w:r w:rsidRPr="00C537B4">
        <w:rPr>
          <w:rStyle w:val="baj"/>
          <w:rFonts w:ascii="Times New Roman" w:hAnsi="Times New Roman" w:cs="Times New Roman"/>
          <w:bCs/>
          <w:color w:val="000000" w:themeColor="text1"/>
          <w:sz w:val="20"/>
          <w:szCs w:val="20"/>
        </w:rPr>
        <w:t>“Parágrafo 2º.</w:t>
      </w:r>
      <w:r w:rsidRPr="00C537B4">
        <w:rPr>
          <w:rStyle w:val="apple-converted-space"/>
          <w:rFonts w:ascii="Times New Roman" w:hAnsi="Times New Roman" w:cs="Times New Roman"/>
          <w:color w:val="000000" w:themeColor="text1"/>
          <w:sz w:val="20"/>
          <w:szCs w:val="20"/>
        </w:rPr>
        <w:t> </w:t>
      </w:r>
      <w:r w:rsidRPr="00C537B4">
        <w:rPr>
          <w:rFonts w:ascii="Times New Roman" w:hAnsi="Times New Roman" w:cs="Times New Roman"/>
          <w:color w:val="000000" w:themeColor="text1"/>
          <w:sz w:val="20"/>
          <w:szCs w:val="20"/>
        </w:rPr>
        <w:t xml:space="preserve">En los numerales 4 y 5 [que establecen dos de las causales de libertad del imputado o del acusado] se restablecerán los términos cuando hubiere </w:t>
      </w:r>
      <w:proofErr w:type="spellStart"/>
      <w:r w:rsidRPr="00C537B4">
        <w:rPr>
          <w:rFonts w:ascii="Times New Roman" w:hAnsi="Times New Roman" w:cs="Times New Roman"/>
          <w:color w:val="000000" w:themeColor="text1"/>
          <w:sz w:val="20"/>
          <w:szCs w:val="20"/>
        </w:rPr>
        <w:t>improbación</w:t>
      </w:r>
      <w:proofErr w:type="spellEnd"/>
      <w:r w:rsidRPr="00C537B4">
        <w:rPr>
          <w:rFonts w:ascii="Times New Roman" w:hAnsi="Times New Roman" w:cs="Times New Roman"/>
          <w:color w:val="000000" w:themeColor="text1"/>
          <w:sz w:val="20"/>
          <w:szCs w:val="20"/>
        </w:rPr>
        <w:t xml:space="preserve"> de la aceptación de cargos, de los preacuerdos o de la aplicación del principio de oportunidad.</w:t>
      </w:r>
    </w:p>
    <w:p w:rsidR="005621EF" w:rsidRPr="00C537B4" w:rsidRDefault="005621EF" w:rsidP="00CF7242">
      <w:pPr>
        <w:pStyle w:val="Sinespaciado"/>
        <w:jc w:val="both"/>
        <w:rPr>
          <w:rFonts w:ascii="Times New Roman" w:hAnsi="Times New Roman" w:cs="Times New Roman"/>
          <w:color w:val="000000" w:themeColor="text1"/>
          <w:sz w:val="20"/>
          <w:szCs w:val="20"/>
        </w:rPr>
      </w:pPr>
      <w:r w:rsidRPr="00C537B4">
        <w:rPr>
          <w:rFonts w:ascii="Times New Roman" w:hAnsi="Times New Roman" w:cs="Times New Roman"/>
          <w:color w:val="000000" w:themeColor="text1"/>
          <w:sz w:val="20"/>
          <w:szCs w:val="20"/>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w:t>
      </w:r>
      <w:r w:rsidRPr="00C537B4">
        <w:rPr>
          <w:rStyle w:val="apple-converted-space"/>
          <w:rFonts w:ascii="Times New Roman" w:hAnsi="Times New Roman" w:cs="Times New Roman"/>
          <w:color w:val="000000" w:themeColor="text1"/>
          <w:sz w:val="20"/>
          <w:szCs w:val="20"/>
        </w:rPr>
        <w:t> </w:t>
      </w:r>
      <w:hyperlink r:id="rId3" w:anchor="317" w:history="1">
        <w:r w:rsidRPr="00C537B4">
          <w:rPr>
            <w:rStyle w:val="Hipervnculo"/>
            <w:rFonts w:ascii="Times New Roman" w:hAnsi="Times New Roman" w:cs="Times New Roman"/>
            <w:color w:val="000000" w:themeColor="text1"/>
            <w:sz w:val="20"/>
            <w:szCs w:val="20"/>
          </w:rPr>
          <w:t>317</w:t>
        </w:r>
      </w:hyperlink>
      <w:r w:rsidRPr="00C537B4">
        <w:rPr>
          <w:rFonts w:ascii="Times New Roman" w:hAnsi="Times New Roman" w:cs="Times New Roman"/>
          <w:color w:val="000000" w:themeColor="text1"/>
          <w:sz w:val="20"/>
          <w:szCs w:val="20"/>
        </w:rPr>
        <w:t xml:space="preserve">”. </w:t>
      </w:r>
    </w:p>
  </w:footnote>
  <w:footnote w:id="63">
    <w:p w:rsidR="005621EF" w:rsidRPr="00C537B4" w:rsidRDefault="005621EF"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Artículo 1 Ley 1760 de 2015.</w:t>
      </w:r>
    </w:p>
  </w:footnote>
  <w:footnote w:id="64">
    <w:p w:rsidR="005621EF" w:rsidRPr="00C537B4" w:rsidRDefault="005621EF"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 2 y 3 Ley 1760 de 2015. </w:t>
      </w:r>
    </w:p>
  </w:footnote>
  <w:footnote w:id="65">
    <w:p w:rsidR="005621EF" w:rsidRPr="00C537B4" w:rsidRDefault="005621EF"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 4 Ley 1760 de 2015. </w:t>
      </w:r>
    </w:p>
  </w:footnote>
  <w:footnote w:id="66">
    <w:p w:rsidR="005621EF" w:rsidRPr="00C537B4" w:rsidRDefault="005621EF"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 5 Ley 1760 de 2015. </w:t>
      </w:r>
    </w:p>
  </w:footnote>
  <w:footnote w:id="67">
    <w:p w:rsidR="005621EF" w:rsidRPr="00C537B4" w:rsidRDefault="005621EF" w:rsidP="00CF7242">
      <w:pPr>
        <w:pStyle w:val="Sinespaciado"/>
        <w:jc w:val="both"/>
        <w:rPr>
          <w:rFonts w:ascii="Times New Roman" w:hAnsi="Times New Roman" w:cs="Times New Roman"/>
          <w:color w:val="000000" w:themeColor="text1"/>
          <w:sz w:val="20"/>
          <w:szCs w:val="20"/>
        </w:rPr>
      </w:pPr>
      <w:r w:rsidRPr="00C537B4">
        <w:rPr>
          <w:rStyle w:val="Refdenotaalpie"/>
          <w:rFonts w:ascii="Times New Roman" w:hAnsi="Times New Roman" w:cs="Times New Roman"/>
          <w:color w:val="000000" w:themeColor="text1"/>
          <w:sz w:val="20"/>
          <w:szCs w:val="20"/>
        </w:rPr>
        <w:footnoteRef/>
      </w:r>
      <w:r w:rsidRPr="00C537B4">
        <w:rPr>
          <w:rFonts w:ascii="Times New Roman" w:hAnsi="Times New Roman" w:cs="Times New Roman"/>
          <w:color w:val="000000" w:themeColor="text1"/>
          <w:sz w:val="20"/>
          <w:szCs w:val="20"/>
        </w:rPr>
        <w:t xml:space="preserve"> Artículo 5, Ley 1786 de 2016.</w:t>
      </w:r>
    </w:p>
  </w:footnote>
  <w:footnote w:id="68">
    <w:p w:rsidR="005621EF" w:rsidRPr="009F0710" w:rsidRDefault="005621EF" w:rsidP="00CF7242">
      <w:pPr>
        <w:pStyle w:val="Textonotapie"/>
        <w:jc w:val="both"/>
        <w:rPr>
          <w:rFonts w:cs="Times New Roman"/>
        </w:rPr>
      </w:pPr>
      <w:r w:rsidRPr="009F0710">
        <w:rPr>
          <w:rStyle w:val="Refdenotaalpie"/>
          <w:rFonts w:cs="Times New Roman"/>
        </w:rPr>
        <w:footnoteRef/>
      </w:r>
      <w:r w:rsidRPr="009F0710">
        <w:rPr>
          <w:rFonts w:cs="Times New Roman"/>
        </w:rPr>
        <w:t xml:space="preserve"> Estos son los delitos contra la libertad, integridad y formación sexuales.  </w:t>
      </w:r>
    </w:p>
  </w:footnote>
  <w:footnote w:id="69">
    <w:p w:rsidR="005621EF" w:rsidRDefault="005621EF" w:rsidP="00CF7242">
      <w:pPr>
        <w:pStyle w:val="Textonotapie"/>
      </w:pPr>
      <w:r>
        <w:rPr>
          <w:rStyle w:val="Refdenotaalpie"/>
        </w:rPr>
        <w:footnoteRef/>
      </w:r>
      <w:r>
        <w:t xml:space="preserve"> Estos son los delitos contra la libertad, integridad y formación sexuales en el marco del conflicto armado. </w:t>
      </w:r>
    </w:p>
  </w:footnote>
  <w:footnote w:id="70">
    <w:p w:rsidR="005621EF" w:rsidRPr="008D2076" w:rsidRDefault="005621EF" w:rsidP="00CF7242">
      <w:pPr>
        <w:pStyle w:val="Textonotapie"/>
        <w:jc w:val="both"/>
        <w:rPr>
          <w:rFonts w:cs="Times New Roman"/>
        </w:rPr>
      </w:pPr>
      <w:r w:rsidRPr="008D2076">
        <w:rPr>
          <w:rStyle w:val="Refdenotaalpie"/>
          <w:rFonts w:cs="Times New Roman"/>
        </w:rPr>
        <w:footnoteRef/>
      </w:r>
      <w:r w:rsidRPr="008D2076">
        <w:rPr>
          <w:rFonts w:cs="Times New Roman"/>
        </w:rPr>
        <w:t xml:space="preserve"> Gaceta N° 660 de 28 de octubre de 2014. “Proyecto de Ley 115 de 2014 Senado. Por medio de la cual se modifica parcialmente la Ley 906 de 2004 en relación con las medidas de aseguramiento privativas de la libertad.” (Exposición de Motivos Ley 1760 de 2015). P. 13</w:t>
      </w:r>
    </w:p>
  </w:footnote>
  <w:footnote w:id="71">
    <w:p w:rsidR="005621EF" w:rsidRPr="008D2076" w:rsidRDefault="005621EF" w:rsidP="00CF7242">
      <w:pPr>
        <w:pStyle w:val="Textonotapie"/>
        <w:jc w:val="both"/>
        <w:rPr>
          <w:rFonts w:cs="Times New Roman"/>
        </w:rPr>
      </w:pPr>
      <w:r w:rsidRPr="008D2076">
        <w:rPr>
          <w:rStyle w:val="Refdenotaalpie"/>
          <w:rFonts w:cs="Times New Roman"/>
        </w:rPr>
        <w:footnoteRef/>
      </w:r>
      <w:r w:rsidRPr="008D2076">
        <w:rPr>
          <w:rFonts w:cs="Times New Roman"/>
        </w:rPr>
        <w:t xml:space="preserve"> Corporación Excelencia para la Justicia y Consejo Superior de la Judicatura. </w:t>
      </w:r>
      <w:r w:rsidRPr="008D2076">
        <w:rPr>
          <w:rFonts w:cs="Times New Roman"/>
          <w:i/>
        </w:rPr>
        <w:t>Resultado de estudios de costos procesales</w:t>
      </w:r>
      <w:r w:rsidRPr="008D2076">
        <w:rPr>
          <w:rFonts w:cs="Times New Roman"/>
        </w:rPr>
        <w:t xml:space="preserve">, Tomo II, abril de 2016. </w:t>
      </w:r>
    </w:p>
  </w:footnote>
  <w:footnote w:id="72">
    <w:p w:rsidR="005621EF" w:rsidRPr="008D2076" w:rsidRDefault="005621EF" w:rsidP="00CF7242">
      <w:pPr>
        <w:pStyle w:val="Textonotapie"/>
        <w:rPr>
          <w:rFonts w:cs="Times New Roman"/>
        </w:rPr>
      </w:pPr>
      <w:r w:rsidRPr="008D2076">
        <w:rPr>
          <w:rStyle w:val="Refdenotaalpie"/>
          <w:rFonts w:cs="Times New Roman"/>
        </w:rPr>
        <w:footnoteRef/>
      </w:r>
      <w:r w:rsidRPr="008D2076">
        <w:rPr>
          <w:rFonts w:cs="Times New Roman"/>
        </w:rPr>
        <w:t xml:space="preserve"> Ibídem, p. 115. </w:t>
      </w:r>
    </w:p>
  </w:footnote>
  <w:footnote w:id="73">
    <w:p w:rsidR="005621EF" w:rsidRPr="008D2076" w:rsidRDefault="005621EF" w:rsidP="00CF7242">
      <w:pPr>
        <w:pStyle w:val="Textonotapie"/>
        <w:jc w:val="both"/>
        <w:rPr>
          <w:rFonts w:cs="Times New Roman"/>
        </w:rPr>
      </w:pPr>
      <w:r w:rsidRPr="008D2076">
        <w:rPr>
          <w:rStyle w:val="Refdenotaalpie"/>
          <w:rFonts w:cs="Times New Roman"/>
        </w:rPr>
        <w:footnoteRef/>
      </w:r>
      <w:r w:rsidRPr="008D2076">
        <w:rPr>
          <w:rFonts w:cs="Times New Roman"/>
        </w:rPr>
        <w:t xml:space="preserve"> Esta información fue reportada por la Dirección Nacional de Políticas Públicas y Planeación –</w:t>
      </w:r>
      <w:proofErr w:type="spellStart"/>
      <w:r w:rsidRPr="008D2076">
        <w:rPr>
          <w:rFonts w:cs="Times New Roman"/>
        </w:rPr>
        <w:t>DNPPP</w:t>
      </w:r>
      <w:proofErr w:type="spellEnd"/>
      <w:r w:rsidRPr="008D2076">
        <w:rPr>
          <w:rFonts w:cs="Times New Roman"/>
        </w:rPr>
        <w:t xml:space="preserve">- de la Fiscalía General de la Nación. Datos contenidos en el Anexo No. 2 del presente Informe de Diagnóstico. </w:t>
      </w:r>
    </w:p>
  </w:footnote>
  <w:footnote w:id="74">
    <w:p w:rsidR="005621EF" w:rsidRPr="008338CF" w:rsidRDefault="005621EF" w:rsidP="00117056">
      <w:pPr>
        <w:pStyle w:val="Textonotapie"/>
        <w:rPr>
          <w:rFonts w:ascii="Times New Roman" w:hAnsi="Times New Roman"/>
          <w:sz w:val="18"/>
          <w:szCs w:val="18"/>
        </w:rPr>
      </w:pPr>
      <w:r w:rsidRPr="008338CF">
        <w:rPr>
          <w:rStyle w:val="Refdenotaalpie"/>
          <w:rFonts w:ascii="Times New Roman" w:hAnsi="Times New Roman"/>
          <w:sz w:val="18"/>
          <w:szCs w:val="18"/>
        </w:rPr>
        <w:footnoteRef/>
      </w:r>
      <w:r w:rsidRPr="008338CF">
        <w:rPr>
          <w:rFonts w:ascii="Times New Roman" w:hAnsi="Times New Roman"/>
          <w:sz w:val="18"/>
          <w:szCs w:val="18"/>
        </w:rPr>
        <w:t xml:space="preserve"> Artículo 244 del Código de Procedimiento Penal. </w:t>
      </w:r>
    </w:p>
  </w:footnote>
  <w:footnote w:id="75">
    <w:p w:rsidR="005621EF" w:rsidRPr="008338CF" w:rsidRDefault="005621EF" w:rsidP="00117056">
      <w:pPr>
        <w:pStyle w:val="Textonotapie"/>
        <w:rPr>
          <w:rFonts w:ascii="Times New Roman" w:hAnsi="Times New Roman"/>
          <w:sz w:val="18"/>
          <w:szCs w:val="18"/>
        </w:rPr>
      </w:pPr>
      <w:r w:rsidRPr="008338CF">
        <w:rPr>
          <w:rStyle w:val="Refdenotaalpie"/>
          <w:rFonts w:ascii="Times New Roman" w:hAnsi="Times New Roman"/>
          <w:sz w:val="18"/>
          <w:szCs w:val="18"/>
        </w:rPr>
        <w:footnoteRef/>
      </w:r>
      <w:r w:rsidRPr="008338CF">
        <w:rPr>
          <w:rFonts w:ascii="Times New Roman" w:hAnsi="Times New Roman"/>
          <w:sz w:val="18"/>
          <w:szCs w:val="18"/>
        </w:rPr>
        <w:t xml:space="preserve"> Corte Constitucional, Sentencia C-336 de 2007, M.P. Jaime Córdoba Triviño</w:t>
      </w:r>
    </w:p>
  </w:footnote>
  <w:footnote w:id="76">
    <w:p w:rsidR="005621EF" w:rsidRPr="00325B20" w:rsidRDefault="005621EF" w:rsidP="00325B20">
      <w:pPr>
        <w:pStyle w:val="NormalWeb"/>
        <w:shd w:val="clear" w:color="auto" w:fill="E6E6E6"/>
        <w:spacing w:line="270" w:lineRule="atLeast"/>
        <w:jc w:val="both"/>
        <w:rPr>
          <w:rFonts w:eastAsia="Times New Roman"/>
          <w:sz w:val="20"/>
          <w:szCs w:val="20"/>
          <w:lang w:eastAsia="es-CO"/>
        </w:rPr>
      </w:pPr>
      <w:r w:rsidRPr="00325B20">
        <w:rPr>
          <w:rStyle w:val="Refdenotaalpie"/>
          <w:sz w:val="20"/>
          <w:szCs w:val="20"/>
        </w:rPr>
        <w:footnoteRef/>
      </w:r>
      <w:r w:rsidRPr="00325B20">
        <w:rPr>
          <w:sz w:val="20"/>
          <w:szCs w:val="20"/>
        </w:rPr>
        <w:t xml:space="preserve"> </w:t>
      </w:r>
      <w:r w:rsidRPr="00382B28">
        <w:rPr>
          <w:rFonts w:eastAsia="Times New Roman"/>
          <w:sz w:val="20"/>
          <w:szCs w:val="20"/>
          <w:lang w:eastAsia="es-CO"/>
        </w:rPr>
        <w:t>Sentencia C-471 de 2016. M.P. Alejandro Linares Cantillo.</w:t>
      </w:r>
      <w:r w:rsidRPr="00325B20">
        <w:rPr>
          <w:rFonts w:eastAsia="Times New Roman"/>
          <w:sz w:val="20"/>
          <w:szCs w:val="20"/>
          <w:lang w:eastAsia="es-CO"/>
        </w:rPr>
        <w:t xml:space="preserve"> </w:t>
      </w:r>
    </w:p>
  </w:footnote>
  <w:footnote w:id="77">
    <w:p w:rsidR="005621EF" w:rsidRPr="00325B20" w:rsidRDefault="005621EF">
      <w:pPr>
        <w:pStyle w:val="Textonotapie"/>
        <w:rPr>
          <w:rFonts w:ascii="Times New Roman" w:hAnsi="Times New Roman" w:cs="Times New Roman"/>
        </w:rPr>
      </w:pPr>
      <w:r w:rsidRPr="00325B20">
        <w:rPr>
          <w:rStyle w:val="Refdenotaalpie"/>
          <w:rFonts w:ascii="Times New Roman" w:hAnsi="Times New Roman" w:cs="Times New Roman"/>
        </w:rPr>
        <w:footnoteRef/>
      </w:r>
      <w:r w:rsidRPr="00325B20">
        <w:rPr>
          <w:rFonts w:ascii="Times New Roman" w:hAnsi="Times New Roman" w:cs="Times New Roman"/>
        </w:rPr>
        <w:t xml:space="preserve"> Sentencia </w:t>
      </w:r>
      <w:hyperlink r:id="rId4" w:anchor="1" w:history="1">
        <w:r w:rsidRPr="00325B20">
          <w:rPr>
            <w:rFonts w:ascii="Times New Roman" w:hAnsi="Times New Roman" w:cs="Times New Roman"/>
          </w:rPr>
          <w:t>C-209 de 2007</w:t>
        </w:r>
      </w:hyperlink>
      <w:r w:rsidRPr="00325B20">
        <w:rPr>
          <w:rFonts w:ascii="Times New Roman" w:hAnsi="Times New Roman" w:cs="Times New Roman"/>
        </w:rPr>
        <w:t xml:space="preserve">.  M.P. Manuel José Cepeda. </w:t>
      </w:r>
    </w:p>
  </w:footnote>
  <w:footnote w:id="78">
    <w:p w:rsidR="005621EF" w:rsidRDefault="005621EF">
      <w:pPr>
        <w:pStyle w:val="Textonotapie"/>
      </w:pPr>
      <w:r>
        <w:rPr>
          <w:rStyle w:val="Refdenotaalpie"/>
        </w:rPr>
        <w:footnoteRef/>
      </w:r>
      <w:r>
        <w:t xml:space="preserve"> Sentencia C- 209 de 2007. M.P. Manuel José Cepeda.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615019"/>
      <w:docPartObj>
        <w:docPartGallery w:val="Page Numbers (Top of Page)"/>
        <w:docPartUnique/>
      </w:docPartObj>
    </w:sdtPr>
    <w:sdtContent>
      <w:p w:rsidR="005621EF" w:rsidRDefault="005621EF">
        <w:pPr>
          <w:pStyle w:val="Encabezado"/>
          <w:jc w:val="center"/>
        </w:pPr>
        <w:fldSimple w:instr="PAGE   \* MERGEFORMAT">
          <w:r w:rsidR="00533762" w:rsidRPr="00533762">
            <w:rPr>
              <w:noProof/>
              <w:lang w:val="es-ES"/>
            </w:rPr>
            <w:t>88</w:t>
          </w:r>
        </w:fldSimple>
      </w:p>
    </w:sdtContent>
  </w:sdt>
  <w:p w:rsidR="005621EF" w:rsidRDefault="005621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855"/>
    <w:multiLevelType w:val="hybridMultilevel"/>
    <w:tmpl w:val="14F8E1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513A4D"/>
    <w:multiLevelType w:val="hybridMultilevel"/>
    <w:tmpl w:val="3F62DC6A"/>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1E2FBF"/>
    <w:multiLevelType w:val="hybridMultilevel"/>
    <w:tmpl w:val="9356F5E6"/>
    <w:lvl w:ilvl="0" w:tplc="339C786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973380"/>
    <w:multiLevelType w:val="hybridMultilevel"/>
    <w:tmpl w:val="EB8276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6B7AE9"/>
    <w:multiLevelType w:val="hybridMultilevel"/>
    <w:tmpl w:val="EB5CB032"/>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295B1B"/>
    <w:multiLevelType w:val="hybridMultilevel"/>
    <w:tmpl w:val="C3202B90"/>
    <w:lvl w:ilvl="0" w:tplc="ABCC1CE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FA16D2"/>
    <w:multiLevelType w:val="hybridMultilevel"/>
    <w:tmpl w:val="FEFCCFFC"/>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4F296A"/>
    <w:multiLevelType w:val="hybridMultilevel"/>
    <w:tmpl w:val="224056B0"/>
    <w:lvl w:ilvl="0" w:tplc="1078373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6E0939"/>
    <w:multiLevelType w:val="hybridMultilevel"/>
    <w:tmpl w:val="923C89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DD5CB3"/>
    <w:multiLevelType w:val="hybridMultilevel"/>
    <w:tmpl w:val="94E23E9C"/>
    <w:lvl w:ilvl="0" w:tplc="CF102E4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1E781723"/>
    <w:multiLevelType w:val="hybridMultilevel"/>
    <w:tmpl w:val="1F6E10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D5799C"/>
    <w:multiLevelType w:val="hybridMultilevel"/>
    <w:tmpl w:val="C264FE00"/>
    <w:lvl w:ilvl="0" w:tplc="7472C472">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2459209D"/>
    <w:multiLevelType w:val="hybridMultilevel"/>
    <w:tmpl w:val="BA2EF3F0"/>
    <w:lvl w:ilvl="0" w:tplc="BED21BC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BD004A"/>
    <w:multiLevelType w:val="hybridMultilevel"/>
    <w:tmpl w:val="76A65FF4"/>
    <w:lvl w:ilvl="0" w:tplc="A2041D24">
      <w:start w:val="2"/>
      <w:numFmt w:val="upperLetter"/>
      <w:lvlText w:val="%1."/>
      <w:lvlJc w:val="left"/>
      <w:pPr>
        <w:tabs>
          <w:tab w:val="num" w:pos="720"/>
        </w:tabs>
        <w:ind w:left="720" w:hanging="360"/>
      </w:pPr>
    </w:lvl>
    <w:lvl w:ilvl="1" w:tplc="703E9E04" w:tentative="1">
      <w:start w:val="1"/>
      <w:numFmt w:val="decimal"/>
      <w:lvlText w:val="%2."/>
      <w:lvlJc w:val="left"/>
      <w:pPr>
        <w:tabs>
          <w:tab w:val="num" w:pos="1440"/>
        </w:tabs>
        <w:ind w:left="1440" w:hanging="360"/>
      </w:pPr>
    </w:lvl>
    <w:lvl w:ilvl="2" w:tplc="B130F374" w:tentative="1">
      <w:start w:val="1"/>
      <w:numFmt w:val="decimal"/>
      <w:lvlText w:val="%3."/>
      <w:lvlJc w:val="left"/>
      <w:pPr>
        <w:tabs>
          <w:tab w:val="num" w:pos="2160"/>
        </w:tabs>
        <w:ind w:left="2160" w:hanging="360"/>
      </w:pPr>
    </w:lvl>
    <w:lvl w:ilvl="3" w:tplc="6AFCD42C" w:tentative="1">
      <w:start w:val="1"/>
      <w:numFmt w:val="decimal"/>
      <w:lvlText w:val="%4."/>
      <w:lvlJc w:val="left"/>
      <w:pPr>
        <w:tabs>
          <w:tab w:val="num" w:pos="2880"/>
        </w:tabs>
        <w:ind w:left="2880" w:hanging="360"/>
      </w:pPr>
    </w:lvl>
    <w:lvl w:ilvl="4" w:tplc="1E4EEAC2" w:tentative="1">
      <w:start w:val="1"/>
      <w:numFmt w:val="decimal"/>
      <w:lvlText w:val="%5."/>
      <w:lvlJc w:val="left"/>
      <w:pPr>
        <w:tabs>
          <w:tab w:val="num" w:pos="3600"/>
        </w:tabs>
        <w:ind w:left="3600" w:hanging="360"/>
      </w:pPr>
    </w:lvl>
    <w:lvl w:ilvl="5" w:tplc="BD4C8B28" w:tentative="1">
      <w:start w:val="1"/>
      <w:numFmt w:val="decimal"/>
      <w:lvlText w:val="%6."/>
      <w:lvlJc w:val="left"/>
      <w:pPr>
        <w:tabs>
          <w:tab w:val="num" w:pos="4320"/>
        </w:tabs>
        <w:ind w:left="4320" w:hanging="360"/>
      </w:pPr>
    </w:lvl>
    <w:lvl w:ilvl="6" w:tplc="E1285FA8" w:tentative="1">
      <w:start w:val="1"/>
      <w:numFmt w:val="decimal"/>
      <w:lvlText w:val="%7."/>
      <w:lvlJc w:val="left"/>
      <w:pPr>
        <w:tabs>
          <w:tab w:val="num" w:pos="5040"/>
        </w:tabs>
        <w:ind w:left="5040" w:hanging="360"/>
      </w:pPr>
    </w:lvl>
    <w:lvl w:ilvl="7" w:tplc="03E837D8" w:tentative="1">
      <w:start w:val="1"/>
      <w:numFmt w:val="decimal"/>
      <w:lvlText w:val="%8."/>
      <w:lvlJc w:val="left"/>
      <w:pPr>
        <w:tabs>
          <w:tab w:val="num" w:pos="5760"/>
        </w:tabs>
        <w:ind w:left="5760" w:hanging="360"/>
      </w:pPr>
    </w:lvl>
    <w:lvl w:ilvl="8" w:tplc="A12C9918" w:tentative="1">
      <w:start w:val="1"/>
      <w:numFmt w:val="decimal"/>
      <w:lvlText w:val="%9."/>
      <w:lvlJc w:val="left"/>
      <w:pPr>
        <w:tabs>
          <w:tab w:val="num" w:pos="6480"/>
        </w:tabs>
        <w:ind w:left="6480" w:hanging="360"/>
      </w:pPr>
    </w:lvl>
  </w:abstractNum>
  <w:abstractNum w:abstractNumId="14">
    <w:nsid w:val="2B7B5BEF"/>
    <w:multiLevelType w:val="hybridMultilevel"/>
    <w:tmpl w:val="5F42BF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309F7C18"/>
    <w:multiLevelType w:val="hybridMultilevel"/>
    <w:tmpl w:val="5260AAFC"/>
    <w:lvl w:ilvl="0" w:tplc="30163E66">
      <w:start w:val="1"/>
      <w:numFmt w:val="lowerLetter"/>
      <w:lvlText w:val="%1."/>
      <w:lvlJc w:val="left"/>
      <w:pPr>
        <w:ind w:left="720" w:hanging="360"/>
      </w:pPr>
      <w:rPr>
        <w:rFonts w:ascii="Source Sans Pro" w:hAnsi="Source Sans Pro" w:hint="default"/>
        <w:b/>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4A9755A"/>
    <w:multiLevelType w:val="hybridMultilevel"/>
    <w:tmpl w:val="9020B88C"/>
    <w:lvl w:ilvl="0" w:tplc="DC3ED32A">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37822B0B"/>
    <w:multiLevelType w:val="hybridMultilevel"/>
    <w:tmpl w:val="B2C250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AF451EB"/>
    <w:multiLevelType w:val="hybridMultilevel"/>
    <w:tmpl w:val="4C945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B014C07"/>
    <w:multiLevelType w:val="hybridMultilevel"/>
    <w:tmpl w:val="143CC2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344144"/>
    <w:multiLevelType w:val="hybridMultilevel"/>
    <w:tmpl w:val="5F42BF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44D26E27"/>
    <w:multiLevelType w:val="hybridMultilevel"/>
    <w:tmpl w:val="D02A51D2"/>
    <w:lvl w:ilvl="0" w:tplc="0AE2E71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4F9269DB"/>
    <w:multiLevelType w:val="hybridMultilevel"/>
    <w:tmpl w:val="646CDF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1B5485C"/>
    <w:multiLevelType w:val="hybridMultilevel"/>
    <w:tmpl w:val="2222C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1F26A86"/>
    <w:multiLevelType w:val="hybridMultilevel"/>
    <w:tmpl w:val="49500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C184E45"/>
    <w:multiLevelType w:val="hybridMultilevel"/>
    <w:tmpl w:val="72CEDD82"/>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18E40EB"/>
    <w:multiLevelType w:val="hybridMultilevel"/>
    <w:tmpl w:val="831EB5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44D28E7"/>
    <w:multiLevelType w:val="hybridMultilevel"/>
    <w:tmpl w:val="224056B0"/>
    <w:lvl w:ilvl="0" w:tplc="1078373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63A0FF5"/>
    <w:multiLevelType w:val="hybridMultilevel"/>
    <w:tmpl w:val="E0BAE6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6BD341F"/>
    <w:multiLevelType w:val="hybridMultilevel"/>
    <w:tmpl w:val="0FB63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6B6376"/>
    <w:multiLevelType w:val="hybridMultilevel"/>
    <w:tmpl w:val="629A1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9650B8"/>
    <w:multiLevelType w:val="hybridMultilevel"/>
    <w:tmpl w:val="60A8A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A160207"/>
    <w:multiLevelType w:val="multilevel"/>
    <w:tmpl w:val="E776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1"/>
  </w:num>
  <w:num w:numId="3">
    <w:abstractNumId w:val="16"/>
  </w:num>
  <w:num w:numId="4">
    <w:abstractNumId w:val="21"/>
  </w:num>
  <w:num w:numId="5">
    <w:abstractNumId w:val="32"/>
    <w:lvlOverride w:ilvl="0">
      <w:lvl w:ilvl="0">
        <w:numFmt w:val="upperLetter"/>
        <w:lvlText w:val="%1."/>
        <w:lvlJc w:val="left"/>
      </w:lvl>
    </w:lvlOverride>
  </w:num>
  <w:num w:numId="6">
    <w:abstractNumId w:val="13"/>
  </w:num>
  <w:num w:numId="7">
    <w:abstractNumId w:val="4"/>
  </w:num>
  <w:num w:numId="8">
    <w:abstractNumId w:val="19"/>
  </w:num>
  <w:num w:numId="9">
    <w:abstractNumId w:val="5"/>
  </w:num>
  <w:num w:numId="10">
    <w:abstractNumId w:val="2"/>
  </w:num>
  <w:num w:numId="11">
    <w:abstractNumId w:val="15"/>
  </w:num>
  <w:num w:numId="12">
    <w:abstractNumId w:val="25"/>
  </w:num>
  <w:num w:numId="13">
    <w:abstractNumId w:val="6"/>
  </w:num>
  <w:num w:numId="14">
    <w:abstractNumId w:val="9"/>
  </w:num>
  <w:num w:numId="15">
    <w:abstractNumId w:val="28"/>
  </w:num>
  <w:num w:numId="16">
    <w:abstractNumId w:val="8"/>
  </w:num>
  <w:num w:numId="17">
    <w:abstractNumId w:val="3"/>
  </w:num>
  <w:num w:numId="18">
    <w:abstractNumId w:val="0"/>
  </w:num>
  <w:num w:numId="19">
    <w:abstractNumId w:val="29"/>
  </w:num>
  <w:num w:numId="20">
    <w:abstractNumId w:val="22"/>
  </w:num>
  <w:num w:numId="21">
    <w:abstractNumId w:val="26"/>
  </w:num>
  <w:num w:numId="22">
    <w:abstractNumId w:val="17"/>
  </w:num>
  <w:num w:numId="23">
    <w:abstractNumId w:val="18"/>
  </w:num>
  <w:num w:numId="24">
    <w:abstractNumId w:val="23"/>
  </w:num>
  <w:num w:numId="25">
    <w:abstractNumId w:val="30"/>
  </w:num>
  <w:num w:numId="26">
    <w:abstractNumId w:val="31"/>
  </w:num>
  <w:num w:numId="27">
    <w:abstractNumId w:val="10"/>
  </w:num>
  <w:num w:numId="28">
    <w:abstractNumId w:val="1"/>
  </w:num>
  <w:num w:numId="29">
    <w:abstractNumId w:val="24"/>
  </w:num>
  <w:num w:numId="30">
    <w:abstractNumId w:val="12"/>
  </w:num>
  <w:num w:numId="31">
    <w:abstractNumId w:val="7"/>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0D86"/>
    <w:rsid w:val="00004289"/>
    <w:rsid w:val="0006344F"/>
    <w:rsid w:val="000A1F61"/>
    <w:rsid w:val="000B2B33"/>
    <w:rsid w:val="000C029C"/>
    <w:rsid w:val="000D5988"/>
    <w:rsid w:val="00117056"/>
    <w:rsid w:val="00173928"/>
    <w:rsid w:val="0018050D"/>
    <w:rsid w:val="00185625"/>
    <w:rsid w:val="001944DD"/>
    <w:rsid w:val="001B12B5"/>
    <w:rsid w:val="00202EBB"/>
    <w:rsid w:val="00206753"/>
    <w:rsid w:val="0023181F"/>
    <w:rsid w:val="00234F6B"/>
    <w:rsid w:val="00252B0B"/>
    <w:rsid w:val="0026771D"/>
    <w:rsid w:val="002B2457"/>
    <w:rsid w:val="002F2B2C"/>
    <w:rsid w:val="0031129F"/>
    <w:rsid w:val="00311BB7"/>
    <w:rsid w:val="00325B20"/>
    <w:rsid w:val="00334DDB"/>
    <w:rsid w:val="00343F99"/>
    <w:rsid w:val="00344B16"/>
    <w:rsid w:val="0035442A"/>
    <w:rsid w:val="0036141F"/>
    <w:rsid w:val="00382B28"/>
    <w:rsid w:val="003C12C3"/>
    <w:rsid w:val="003D3ED9"/>
    <w:rsid w:val="0042336B"/>
    <w:rsid w:val="00436ABB"/>
    <w:rsid w:val="004379D1"/>
    <w:rsid w:val="00440594"/>
    <w:rsid w:val="004A31D6"/>
    <w:rsid w:val="004C4AA0"/>
    <w:rsid w:val="00504F30"/>
    <w:rsid w:val="00517D65"/>
    <w:rsid w:val="00533762"/>
    <w:rsid w:val="005621EF"/>
    <w:rsid w:val="00570ECA"/>
    <w:rsid w:val="005E1A08"/>
    <w:rsid w:val="005F1AE3"/>
    <w:rsid w:val="00600D79"/>
    <w:rsid w:val="00612085"/>
    <w:rsid w:val="00666602"/>
    <w:rsid w:val="00677958"/>
    <w:rsid w:val="006A1B37"/>
    <w:rsid w:val="006B0221"/>
    <w:rsid w:val="006B194D"/>
    <w:rsid w:val="006C7D30"/>
    <w:rsid w:val="006D7741"/>
    <w:rsid w:val="006D7C00"/>
    <w:rsid w:val="006F40DD"/>
    <w:rsid w:val="00711ADA"/>
    <w:rsid w:val="007176F3"/>
    <w:rsid w:val="007329CA"/>
    <w:rsid w:val="0074749F"/>
    <w:rsid w:val="00785153"/>
    <w:rsid w:val="0078744A"/>
    <w:rsid w:val="00792ADD"/>
    <w:rsid w:val="007969EE"/>
    <w:rsid w:val="007A330E"/>
    <w:rsid w:val="007A7D72"/>
    <w:rsid w:val="00835991"/>
    <w:rsid w:val="008456C8"/>
    <w:rsid w:val="00864151"/>
    <w:rsid w:val="00864776"/>
    <w:rsid w:val="00872E33"/>
    <w:rsid w:val="00893B6C"/>
    <w:rsid w:val="008C2728"/>
    <w:rsid w:val="008C51AD"/>
    <w:rsid w:val="00915097"/>
    <w:rsid w:val="009258C7"/>
    <w:rsid w:val="00932DA4"/>
    <w:rsid w:val="00947F9F"/>
    <w:rsid w:val="009C58C4"/>
    <w:rsid w:val="00A20EC0"/>
    <w:rsid w:val="00A230B1"/>
    <w:rsid w:val="00A329C1"/>
    <w:rsid w:val="00A33157"/>
    <w:rsid w:val="00A562A7"/>
    <w:rsid w:val="00A62E17"/>
    <w:rsid w:val="00A76971"/>
    <w:rsid w:val="00A77AEB"/>
    <w:rsid w:val="00A83C7B"/>
    <w:rsid w:val="00AA025A"/>
    <w:rsid w:val="00B133D2"/>
    <w:rsid w:val="00B33D63"/>
    <w:rsid w:val="00B33DA7"/>
    <w:rsid w:val="00B352BF"/>
    <w:rsid w:val="00B674B6"/>
    <w:rsid w:val="00B851BA"/>
    <w:rsid w:val="00BC1128"/>
    <w:rsid w:val="00BC4010"/>
    <w:rsid w:val="00BD4932"/>
    <w:rsid w:val="00BF77D9"/>
    <w:rsid w:val="00C230CE"/>
    <w:rsid w:val="00C350EC"/>
    <w:rsid w:val="00C36783"/>
    <w:rsid w:val="00C62800"/>
    <w:rsid w:val="00C95521"/>
    <w:rsid w:val="00CD4AF4"/>
    <w:rsid w:val="00CF7242"/>
    <w:rsid w:val="00D231B1"/>
    <w:rsid w:val="00D273F8"/>
    <w:rsid w:val="00D31564"/>
    <w:rsid w:val="00D319AC"/>
    <w:rsid w:val="00D44DCE"/>
    <w:rsid w:val="00D46E03"/>
    <w:rsid w:val="00D720D9"/>
    <w:rsid w:val="00DB50B0"/>
    <w:rsid w:val="00DC1CE9"/>
    <w:rsid w:val="00DC59CD"/>
    <w:rsid w:val="00DD56FC"/>
    <w:rsid w:val="00DE359F"/>
    <w:rsid w:val="00DF5A0F"/>
    <w:rsid w:val="00E13AA2"/>
    <w:rsid w:val="00E32307"/>
    <w:rsid w:val="00E40301"/>
    <w:rsid w:val="00E54DC2"/>
    <w:rsid w:val="00E81548"/>
    <w:rsid w:val="00EA2D6C"/>
    <w:rsid w:val="00EC0CE0"/>
    <w:rsid w:val="00F06C5B"/>
    <w:rsid w:val="00F37FF8"/>
    <w:rsid w:val="00F40D86"/>
    <w:rsid w:val="00F755FE"/>
    <w:rsid w:val="00F82ADB"/>
    <w:rsid w:val="00FA7E5C"/>
    <w:rsid w:val="00FC18E2"/>
    <w:rsid w:val="00FC2DC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51"/>
  </w:style>
  <w:style w:type="paragraph" w:styleId="Ttulo1">
    <w:name w:val="heading 1"/>
    <w:basedOn w:val="Normal"/>
    <w:next w:val="Normal"/>
    <w:link w:val="Ttulo1Car"/>
    <w:qFormat/>
    <w:rsid w:val="00EA2D6C"/>
    <w:pPr>
      <w:keepNext/>
      <w:keepLines/>
      <w:spacing w:before="480" w:after="120" w:line="256" w:lineRule="auto"/>
      <w:outlineLvl w:val="0"/>
    </w:pPr>
    <w:rPr>
      <w:rFonts w:ascii="Calibri" w:eastAsia="Calibri" w:hAnsi="Calibri" w:cs="Calibri"/>
      <w:b/>
      <w:color w:val="000000"/>
      <w:sz w:val="48"/>
      <w:szCs w:val="48"/>
      <w:lang w:eastAsia="es-CO"/>
    </w:rPr>
  </w:style>
  <w:style w:type="paragraph" w:styleId="Ttulo2">
    <w:name w:val="heading 2"/>
    <w:basedOn w:val="Normal"/>
    <w:next w:val="Normal"/>
    <w:link w:val="Ttulo2Car"/>
    <w:semiHidden/>
    <w:unhideWhenUsed/>
    <w:qFormat/>
    <w:rsid w:val="00EA2D6C"/>
    <w:pPr>
      <w:keepNext/>
      <w:keepLines/>
      <w:spacing w:before="360" w:after="80" w:line="256" w:lineRule="auto"/>
      <w:outlineLvl w:val="1"/>
    </w:pPr>
    <w:rPr>
      <w:rFonts w:ascii="Calibri" w:eastAsia="Calibri" w:hAnsi="Calibri" w:cs="Calibri"/>
      <w:b/>
      <w:color w:val="000000"/>
      <w:sz w:val="36"/>
      <w:szCs w:val="36"/>
      <w:lang w:eastAsia="es-CO"/>
    </w:rPr>
  </w:style>
  <w:style w:type="paragraph" w:styleId="Ttulo3">
    <w:name w:val="heading 3"/>
    <w:basedOn w:val="Normal"/>
    <w:next w:val="Normal"/>
    <w:link w:val="Ttulo3Car"/>
    <w:semiHidden/>
    <w:unhideWhenUsed/>
    <w:qFormat/>
    <w:rsid w:val="00EA2D6C"/>
    <w:pPr>
      <w:keepNext/>
      <w:keepLines/>
      <w:spacing w:before="280" w:after="80" w:line="256" w:lineRule="auto"/>
      <w:outlineLvl w:val="2"/>
    </w:pPr>
    <w:rPr>
      <w:rFonts w:ascii="Calibri" w:eastAsia="Calibri" w:hAnsi="Calibri" w:cs="Calibri"/>
      <w:b/>
      <w:color w:val="000000"/>
      <w:sz w:val="28"/>
      <w:szCs w:val="28"/>
      <w:lang w:eastAsia="es-CO"/>
    </w:rPr>
  </w:style>
  <w:style w:type="paragraph" w:styleId="Ttulo4">
    <w:name w:val="heading 4"/>
    <w:basedOn w:val="Normal"/>
    <w:next w:val="Normal"/>
    <w:link w:val="Ttulo4Car"/>
    <w:semiHidden/>
    <w:unhideWhenUsed/>
    <w:qFormat/>
    <w:rsid w:val="00EA2D6C"/>
    <w:pPr>
      <w:keepNext/>
      <w:keepLines/>
      <w:spacing w:before="240" w:after="40" w:line="256" w:lineRule="auto"/>
      <w:outlineLvl w:val="3"/>
    </w:pPr>
    <w:rPr>
      <w:rFonts w:ascii="Calibri" w:eastAsia="Calibri" w:hAnsi="Calibri" w:cs="Calibri"/>
      <w:b/>
      <w:color w:val="000000"/>
      <w:sz w:val="24"/>
      <w:szCs w:val="24"/>
      <w:lang w:eastAsia="es-CO"/>
    </w:rPr>
  </w:style>
  <w:style w:type="paragraph" w:styleId="Ttulo5">
    <w:name w:val="heading 5"/>
    <w:basedOn w:val="Normal"/>
    <w:next w:val="Normal"/>
    <w:link w:val="Ttulo5Car"/>
    <w:semiHidden/>
    <w:unhideWhenUsed/>
    <w:qFormat/>
    <w:rsid w:val="00EA2D6C"/>
    <w:pPr>
      <w:keepNext/>
      <w:keepLines/>
      <w:spacing w:before="220" w:after="40" w:line="256" w:lineRule="auto"/>
      <w:outlineLvl w:val="4"/>
    </w:pPr>
    <w:rPr>
      <w:rFonts w:ascii="Calibri" w:eastAsia="Calibri" w:hAnsi="Calibri" w:cs="Calibri"/>
      <w:b/>
      <w:color w:val="000000"/>
      <w:lang w:eastAsia="es-CO"/>
    </w:rPr>
  </w:style>
  <w:style w:type="paragraph" w:styleId="Ttulo6">
    <w:name w:val="heading 6"/>
    <w:basedOn w:val="Normal"/>
    <w:next w:val="Normal"/>
    <w:link w:val="Ttulo6Car"/>
    <w:semiHidden/>
    <w:unhideWhenUsed/>
    <w:qFormat/>
    <w:rsid w:val="00EA2D6C"/>
    <w:pPr>
      <w:keepNext/>
      <w:keepLines/>
      <w:spacing w:before="200" w:after="40" w:line="256" w:lineRule="auto"/>
      <w:outlineLvl w:val="5"/>
    </w:pPr>
    <w:rPr>
      <w:rFonts w:ascii="Calibri" w:eastAsia="Calibri" w:hAnsi="Calibri" w:cs="Calibri"/>
      <w:b/>
      <w:color w:val="00000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6C5B"/>
    <w:pPr>
      <w:spacing w:after="0" w:line="240" w:lineRule="auto"/>
    </w:pPr>
  </w:style>
  <w:style w:type="paragraph" w:styleId="Prrafodelista">
    <w:name w:val="List Paragraph"/>
    <w:basedOn w:val="Normal"/>
    <w:uiPriority w:val="34"/>
    <w:qFormat/>
    <w:rsid w:val="0035442A"/>
    <w:pPr>
      <w:ind w:left="720"/>
      <w:contextualSpacing/>
    </w:p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A Fu,Footnote Te,Footnote reference"/>
    <w:basedOn w:val="Normal"/>
    <w:link w:val="TextonotapieCar"/>
    <w:uiPriority w:val="99"/>
    <w:unhideWhenUsed/>
    <w:qFormat/>
    <w:rsid w:val="008C2728"/>
    <w:pPr>
      <w:spacing w:after="0" w:line="240"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8C2728"/>
    <w:rPr>
      <w:sz w:val="20"/>
      <w:szCs w:val="20"/>
    </w:rPr>
  </w:style>
  <w:style w:type="character" w:styleId="Refdenotaalpie">
    <w:name w:val="footnote reference"/>
    <w:aliases w:val="Footnotes refss,Texto de nota al pie,referencia nota al pie,Nota de pie,Texto nota al pie,Appel note de bas de page,Ref. de nota al pie 2,Fago Fußnotenzeichen,Footnote number,BVI fnr,f,4_G,16 Point,Superscript 6 Point,foote,Footnote"/>
    <w:basedOn w:val="Fuentedeprrafopredeter"/>
    <w:uiPriority w:val="99"/>
    <w:unhideWhenUsed/>
    <w:qFormat/>
    <w:rsid w:val="008C2728"/>
    <w:rPr>
      <w:vertAlign w:val="superscript"/>
    </w:rPr>
  </w:style>
  <w:style w:type="character" w:customStyle="1" w:styleId="apple-converted-space">
    <w:name w:val="apple-converted-space"/>
    <w:basedOn w:val="Fuentedeprrafopredeter"/>
    <w:rsid w:val="008C2728"/>
  </w:style>
  <w:style w:type="character" w:styleId="Hipervnculo">
    <w:name w:val="Hyperlink"/>
    <w:basedOn w:val="Fuentedeprrafopredeter"/>
    <w:uiPriority w:val="99"/>
    <w:unhideWhenUsed/>
    <w:rsid w:val="0026771D"/>
    <w:rPr>
      <w:color w:val="0000FF"/>
      <w:u w:val="single"/>
    </w:rPr>
  </w:style>
  <w:style w:type="paragraph" w:styleId="NormalWeb">
    <w:name w:val="Normal (Web)"/>
    <w:basedOn w:val="Normal"/>
    <w:uiPriority w:val="99"/>
    <w:unhideWhenUsed/>
    <w:rsid w:val="00325B20"/>
    <w:rPr>
      <w:rFonts w:ascii="Times New Roman" w:hAnsi="Times New Roman" w:cs="Times New Roman"/>
      <w:sz w:val="24"/>
      <w:szCs w:val="24"/>
    </w:rPr>
  </w:style>
  <w:style w:type="character" w:customStyle="1" w:styleId="baj">
    <w:name w:val="b_aj"/>
    <w:basedOn w:val="Fuentedeprrafopredeter"/>
    <w:rsid w:val="00517D65"/>
  </w:style>
  <w:style w:type="table" w:styleId="Tablaconcuadrcula">
    <w:name w:val="Table Grid"/>
    <w:basedOn w:val="Tablanormal"/>
    <w:uiPriority w:val="39"/>
    <w:rsid w:val="00CF7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B2B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B33"/>
  </w:style>
  <w:style w:type="paragraph" w:styleId="Piedepgina">
    <w:name w:val="footer"/>
    <w:basedOn w:val="Normal"/>
    <w:link w:val="PiedepginaCar"/>
    <w:uiPriority w:val="99"/>
    <w:unhideWhenUsed/>
    <w:rsid w:val="000B2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B33"/>
  </w:style>
  <w:style w:type="table" w:customStyle="1" w:styleId="TableNormal">
    <w:name w:val="Table Normal"/>
    <w:rsid w:val="00D319AC"/>
    <w:pPr>
      <w:pBdr>
        <w:top w:val="nil"/>
        <w:left w:val="nil"/>
        <w:bottom w:val="nil"/>
        <w:right w:val="nil"/>
        <w:between w:val="nil"/>
      </w:pBdr>
    </w:pPr>
    <w:rPr>
      <w:rFonts w:ascii="Calibri" w:eastAsia="Calibri" w:hAnsi="Calibri" w:cs="Calibri"/>
      <w:color w:val="000000"/>
      <w:lang w:eastAsia="es-CO"/>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D319AC"/>
    <w:pPr>
      <w:pBdr>
        <w:top w:val="nil"/>
        <w:left w:val="nil"/>
        <w:bottom w:val="nil"/>
        <w:right w:val="nil"/>
        <w:between w:val="nil"/>
      </w:pBdr>
      <w:spacing w:line="240" w:lineRule="auto"/>
    </w:pPr>
    <w:rPr>
      <w:rFonts w:ascii="Calibri" w:eastAsia="Calibri" w:hAnsi="Calibri" w:cs="Calibri"/>
      <w:color w:val="000000"/>
      <w:sz w:val="20"/>
      <w:szCs w:val="20"/>
      <w:lang w:eastAsia="es-CO"/>
    </w:rPr>
  </w:style>
  <w:style w:type="character" w:customStyle="1" w:styleId="TextocomentarioCar">
    <w:name w:val="Texto comentario Car"/>
    <w:basedOn w:val="Fuentedeprrafopredeter"/>
    <w:link w:val="Textocomentario"/>
    <w:uiPriority w:val="99"/>
    <w:rsid w:val="00D319AC"/>
    <w:rPr>
      <w:rFonts w:ascii="Calibri" w:eastAsia="Calibri" w:hAnsi="Calibri" w:cs="Calibri"/>
      <w:color w:val="000000"/>
      <w:sz w:val="20"/>
      <w:szCs w:val="20"/>
      <w:lang w:eastAsia="es-CO"/>
    </w:rPr>
  </w:style>
  <w:style w:type="character" w:customStyle="1" w:styleId="Ttulo1Car">
    <w:name w:val="Título 1 Car"/>
    <w:basedOn w:val="Fuentedeprrafopredeter"/>
    <w:link w:val="Ttulo1"/>
    <w:uiPriority w:val="9"/>
    <w:rsid w:val="00EA2D6C"/>
    <w:rPr>
      <w:rFonts w:ascii="Calibri" w:eastAsia="Calibri" w:hAnsi="Calibri" w:cs="Calibri"/>
      <w:b/>
      <w:color w:val="000000"/>
      <w:sz w:val="48"/>
      <w:szCs w:val="48"/>
      <w:lang w:eastAsia="es-CO"/>
    </w:rPr>
  </w:style>
  <w:style w:type="character" w:customStyle="1" w:styleId="Ttulo2Car">
    <w:name w:val="Título 2 Car"/>
    <w:basedOn w:val="Fuentedeprrafopredeter"/>
    <w:link w:val="Ttulo2"/>
    <w:semiHidden/>
    <w:rsid w:val="00EA2D6C"/>
    <w:rPr>
      <w:rFonts w:ascii="Calibri" w:eastAsia="Calibri" w:hAnsi="Calibri" w:cs="Calibri"/>
      <w:b/>
      <w:color w:val="000000"/>
      <w:sz w:val="36"/>
      <w:szCs w:val="36"/>
      <w:lang w:eastAsia="es-CO"/>
    </w:rPr>
  </w:style>
  <w:style w:type="character" w:customStyle="1" w:styleId="Ttulo3Car">
    <w:name w:val="Título 3 Car"/>
    <w:basedOn w:val="Fuentedeprrafopredeter"/>
    <w:link w:val="Ttulo3"/>
    <w:semiHidden/>
    <w:rsid w:val="00EA2D6C"/>
    <w:rPr>
      <w:rFonts w:ascii="Calibri" w:eastAsia="Calibri" w:hAnsi="Calibri" w:cs="Calibri"/>
      <w:b/>
      <w:color w:val="000000"/>
      <w:sz w:val="28"/>
      <w:szCs w:val="28"/>
      <w:lang w:eastAsia="es-CO"/>
    </w:rPr>
  </w:style>
  <w:style w:type="character" w:customStyle="1" w:styleId="Ttulo4Car">
    <w:name w:val="Título 4 Car"/>
    <w:basedOn w:val="Fuentedeprrafopredeter"/>
    <w:link w:val="Ttulo4"/>
    <w:semiHidden/>
    <w:rsid w:val="00EA2D6C"/>
    <w:rPr>
      <w:rFonts w:ascii="Calibri" w:eastAsia="Calibri" w:hAnsi="Calibri" w:cs="Calibri"/>
      <w:b/>
      <w:color w:val="000000"/>
      <w:sz w:val="24"/>
      <w:szCs w:val="24"/>
      <w:lang w:eastAsia="es-CO"/>
    </w:rPr>
  </w:style>
  <w:style w:type="character" w:customStyle="1" w:styleId="Ttulo5Car">
    <w:name w:val="Título 5 Car"/>
    <w:basedOn w:val="Fuentedeprrafopredeter"/>
    <w:link w:val="Ttulo5"/>
    <w:semiHidden/>
    <w:rsid w:val="00EA2D6C"/>
    <w:rPr>
      <w:rFonts w:ascii="Calibri" w:eastAsia="Calibri" w:hAnsi="Calibri" w:cs="Calibri"/>
      <w:b/>
      <w:color w:val="000000"/>
      <w:lang w:eastAsia="es-CO"/>
    </w:rPr>
  </w:style>
  <w:style w:type="character" w:customStyle="1" w:styleId="Ttulo6Car">
    <w:name w:val="Título 6 Car"/>
    <w:basedOn w:val="Fuentedeprrafopredeter"/>
    <w:link w:val="Ttulo6"/>
    <w:semiHidden/>
    <w:rsid w:val="00EA2D6C"/>
    <w:rPr>
      <w:rFonts w:ascii="Calibri" w:eastAsia="Calibri" w:hAnsi="Calibri" w:cs="Calibri"/>
      <w:b/>
      <w:color w:val="000000"/>
      <w:sz w:val="20"/>
      <w:szCs w:val="20"/>
      <w:lang w:eastAsia="es-CO"/>
    </w:rPr>
  </w:style>
  <w:style w:type="character" w:styleId="Hipervnculovisitado">
    <w:name w:val="FollowedHyperlink"/>
    <w:basedOn w:val="Fuentedeprrafopredeter"/>
    <w:uiPriority w:val="99"/>
    <w:semiHidden/>
    <w:unhideWhenUsed/>
    <w:rsid w:val="00EA2D6C"/>
    <w:rPr>
      <w:color w:val="954F72" w:themeColor="followedHyperlink"/>
      <w:u w:val="single"/>
    </w:rPr>
  </w:style>
  <w:style w:type="paragraph" w:customStyle="1" w:styleId="msonormal0">
    <w:name w:val="msonormal"/>
    <w:basedOn w:val="Normal"/>
    <w:uiPriority w:val="99"/>
    <w:rsid w:val="00EA2D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next w:val="Normal"/>
    <w:link w:val="TtuloCar"/>
    <w:uiPriority w:val="99"/>
    <w:qFormat/>
    <w:rsid w:val="00EA2D6C"/>
    <w:pPr>
      <w:keepNext/>
      <w:keepLines/>
      <w:spacing w:before="480" w:after="120" w:line="256" w:lineRule="auto"/>
    </w:pPr>
    <w:rPr>
      <w:rFonts w:ascii="Calibri" w:eastAsia="Calibri" w:hAnsi="Calibri" w:cs="Calibri"/>
      <w:b/>
      <w:color w:val="000000"/>
      <w:sz w:val="72"/>
      <w:szCs w:val="72"/>
      <w:lang w:eastAsia="es-CO"/>
    </w:rPr>
  </w:style>
  <w:style w:type="character" w:customStyle="1" w:styleId="TtuloCar">
    <w:name w:val="Título Car"/>
    <w:basedOn w:val="Fuentedeprrafopredeter"/>
    <w:link w:val="Ttulo"/>
    <w:uiPriority w:val="99"/>
    <w:rsid w:val="00EA2D6C"/>
    <w:rPr>
      <w:rFonts w:ascii="Calibri" w:eastAsia="Calibri" w:hAnsi="Calibri" w:cs="Calibri"/>
      <w:b/>
      <w:color w:val="000000"/>
      <w:sz w:val="72"/>
      <w:szCs w:val="72"/>
      <w:lang w:eastAsia="es-CO"/>
    </w:rPr>
  </w:style>
  <w:style w:type="paragraph" w:styleId="Subttulo">
    <w:name w:val="Subtitle"/>
    <w:basedOn w:val="Normal"/>
    <w:next w:val="Normal"/>
    <w:link w:val="SubttuloCar"/>
    <w:uiPriority w:val="99"/>
    <w:qFormat/>
    <w:rsid w:val="00EA2D6C"/>
    <w:pPr>
      <w:keepNext/>
      <w:keepLines/>
      <w:spacing w:before="360" w:after="80" w:line="256" w:lineRule="auto"/>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99"/>
    <w:rsid w:val="00EA2D6C"/>
    <w:rPr>
      <w:rFonts w:ascii="Georgia" w:eastAsia="Georgia" w:hAnsi="Georgia" w:cs="Georgia"/>
      <w:i/>
      <w:color w:val="666666"/>
      <w:sz w:val="48"/>
      <w:szCs w:val="48"/>
      <w:lang w:eastAsia="es-CO"/>
    </w:rPr>
  </w:style>
  <w:style w:type="paragraph" w:styleId="Asuntodelcomentario">
    <w:name w:val="annotation subject"/>
    <w:basedOn w:val="Textocomentario"/>
    <w:next w:val="Textocomentario"/>
    <w:link w:val="AsuntodelcomentarioCar"/>
    <w:uiPriority w:val="99"/>
    <w:semiHidden/>
    <w:unhideWhenUsed/>
    <w:rsid w:val="00EA2D6C"/>
    <w:pPr>
      <w:pBdr>
        <w:top w:val="none" w:sz="0" w:space="0" w:color="auto"/>
        <w:left w:val="none" w:sz="0" w:space="0" w:color="auto"/>
        <w:bottom w:val="none" w:sz="0" w:space="0" w:color="auto"/>
        <w:right w:val="none" w:sz="0" w:space="0" w:color="auto"/>
        <w:between w:val="none" w:sz="0" w:space="0" w:color="auto"/>
      </w:pBdr>
    </w:pPr>
    <w:rPr>
      <w:b/>
      <w:bCs/>
    </w:rPr>
  </w:style>
  <w:style w:type="character" w:customStyle="1" w:styleId="AsuntodelcomentarioCar">
    <w:name w:val="Asunto del comentario Car"/>
    <w:basedOn w:val="TextocomentarioCar"/>
    <w:link w:val="Asuntodelcomentario"/>
    <w:uiPriority w:val="99"/>
    <w:semiHidden/>
    <w:rsid w:val="00EA2D6C"/>
    <w:rPr>
      <w:rFonts w:ascii="Calibri" w:eastAsia="Calibri" w:hAnsi="Calibri" w:cs="Calibri"/>
      <w:b/>
      <w:bCs/>
      <w:color w:val="000000"/>
      <w:sz w:val="20"/>
      <w:szCs w:val="20"/>
      <w:lang w:eastAsia="es-CO"/>
    </w:rPr>
  </w:style>
  <w:style w:type="paragraph" w:styleId="Textodeglobo">
    <w:name w:val="Balloon Text"/>
    <w:basedOn w:val="Normal"/>
    <w:link w:val="TextodegloboCar"/>
    <w:uiPriority w:val="99"/>
    <w:semiHidden/>
    <w:unhideWhenUsed/>
    <w:rsid w:val="00EA2D6C"/>
    <w:pPr>
      <w:spacing w:after="0" w:line="240" w:lineRule="auto"/>
    </w:pPr>
    <w:rPr>
      <w:rFonts w:ascii="Segoe UI" w:eastAsia="Calibri" w:hAnsi="Segoe UI" w:cs="Segoe UI"/>
      <w:color w:val="000000"/>
      <w:sz w:val="18"/>
      <w:szCs w:val="18"/>
      <w:lang w:eastAsia="es-CO"/>
    </w:rPr>
  </w:style>
  <w:style w:type="character" w:customStyle="1" w:styleId="TextodegloboCar">
    <w:name w:val="Texto de globo Car"/>
    <w:basedOn w:val="Fuentedeprrafopredeter"/>
    <w:link w:val="Textodeglobo"/>
    <w:uiPriority w:val="99"/>
    <w:semiHidden/>
    <w:rsid w:val="00EA2D6C"/>
    <w:rPr>
      <w:rFonts w:ascii="Segoe UI" w:eastAsia="Calibri" w:hAnsi="Segoe UI" w:cs="Segoe UI"/>
      <w:color w:val="000000"/>
      <w:sz w:val="18"/>
      <w:szCs w:val="18"/>
      <w:lang w:eastAsia="es-CO"/>
    </w:rPr>
  </w:style>
  <w:style w:type="character" w:customStyle="1" w:styleId="SinespaciadoCar">
    <w:name w:val="Sin espaciado Car"/>
    <w:link w:val="Sinespaciado"/>
    <w:uiPriority w:val="1"/>
    <w:locked/>
    <w:rsid w:val="00EA2D6C"/>
  </w:style>
  <w:style w:type="paragraph" w:customStyle="1" w:styleId="Default">
    <w:name w:val="Default"/>
    <w:basedOn w:val="Normal"/>
    <w:uiPriority w:val="99"/>
    <w:rsid w:val="00EA2D6C"/>
    <w:pPr>
      <w:autoSpaceDE w:val="0"/>
      <w:autoSpaceDN w:val="0"/>
      <w:spacing w:after="0" w:line="240" w:lineRule="auto"/>
    </w:pPr>
    <w:rPr>
      <w:rFonts w:ascii="Bookman Old Style" w:hAnsi="Bookman Old Style" w:cs="Times New Roman"/>
      <w:color w:val="000000"/>
      <w:sz w:val="24"/>
      <w:szCs w:val="24"/>
      <w:lang w:eastAsia="es-CO"/>
    </w:rPr>
  </w:style>
  <w:style w:type="character" w:styleId="Refdecomentario">
    <w:name w:val="annotation reference"/>
    <w:basedOn w:val="Fuentedeprrafopredeter"/>
    <w:uiPriority w:val="99"/>
    <w:semiHidden/>
    <w:unhideWhenUsed/>
    <w:rsid w:val="00EA2D6C"/>
    <w:rPr>
      <w:sz w:val="16"/>
      <w:szCs w:val="16"/>
    </w:rPr>
  </w:style>
</w:styles>
</file>

<file path=word/webSettings.xml><?xml version="1.0" encoding="utf-8"?>
<w:webSettings xmlns:r="http://schemas.openxmlformats.org/officeDocument/2006/relationships" xmlns:w="http://schemas.openxmlformats.org/wordprocessingml/2006/main">
  <w:divs>
    <w:div w:id="64108468">
      <w:bodyDiv w:val="1"/>
      <w:marLeft w:val="0"/>
      <w:marRight w:val="0"/>
      <w:marTop w:val="0"/>
      <w:marBottom w:val="0"/>
      <w:divBdr>
        <w:top w:val="none" w:sz="0" w:space="0" w:color="auto"/>
        <w:left w:val="none" w:sz="0" w:space="0" w:color="auto"/>
        <w:bottom w:val="none" w:sz="0" w:space="0" w:color="auto"/>
        <w:right w:val="none" w:sz="0" w:space="0" w:color="auto"/>
      </w:divBdr>
    </w:div>
    <w:div w:id="92673725">
      <w:bodyDiv w:val="1"/>
      <w:marLeft w:val="0"/>
      <w:marRight w:val="0"/>
      <w:marTop w:val="0"/>
      <w:marBottom w:val="0"/>
      <w:divBdr>
        <w:top w:val="none" w:sz="0" w:space="0" w:color="auto"/>
        <w:left w:val="none" w:sz="0" w:space="0" w:color="auto"/>
        <w:bottom w:val="none" w:sz="0" w:space="0" w:color="auto"/>
        <w:right w:val="none" w:sz="0" w:space="0" w:color="auto"/>
      </w:divBdr>
    </w:div>
    <w:div w:id="110436740">
      <w:bodyDiv w:val="1"/>
      <w:marLeft w:val="0"/>
      <w:marRight w:val="0"/>
      <w:marTop w:val="0"/>
      <w:marBottom w:val="0"/>
      <w:divBdr>
        <w:top w:val="none" w:sz="0" w:space="0" w:color="auto"/>
        <w:left w:val="none" w:sz="0" w:space="0" w:color="auto"/>
        <w:bottom w:val="none" w:sz="0" w:space="0" w:color="auto"/>
        <w:right w:val="none" w:sz="0" w:space="0" w:color="auto"/>
      </w:divBdr>
    </w:div>
    <w:div w:id="197083273">
      <w:bodyDiv w:val="1"/>
      <w:marLeft w:val="0"/>
      <w:marRight w:val="0"/>
      <w:marTop w:val="0"/>
      <w:marBottom w:val="0"/>
      <w:divBdr>
        <w:top w:val="none" w:sz="0" w:space="0" w:color="auto"/>
        <w:left w:val="none" w:sz="0" w:space="0" w:color="auto"/>
        <w:bottom w:val="none" w:sz="0" w:space="0" w:color="auto"/>
        <w:right w:val="none" w:sz="0" w:space="0" w:color="auto"/>
      </w:divBdr>
    </w:div>
    <w:div w:id="205221372">
      <w:bodyDiv w:val="1"/>
      <w:marLeft w:val="0"/>
      <w:marRight w:val="0"/>
      <w:marTop w:val="0"/>
      <w:marBottom w:val="0"/>
      <w:divBdr>
        <w:top w:val="none" w:sz="0" w:space="0" w:color="auto"/>
        <w:left w:val="none" w:sz="0" w:space="0" w:color="auto"/>
        <w:bottom w:val="none" w:sz="0" w:space="0" w:color="auto"/>
        <w:right w:val="none" w:sz="0" w:space="0" w:color="auto"/>
      </w:divBdr>
    </w:div>
    <w:div w:id="251546155">
      <w:bodyDiv w:val="1"/>
      <w:marLeft w:val="0"/>
      <w:marRight w:val="0"/>
      <w:marTop w:val="0"/>
      <w:marBottom w:val="0"/>
      <w:divBdr>
        <w:top w:val="none" w:sz="0" w:space="0" w:color="auto"/>
        <w:left w:val="none" w:sz="0" w:space="0" w:color="auto"/>
        <w:bottom w:val="none" w:sz="0" w:space="0" w:color="auto"/>
        <w:right w:val="none" w:sz="0" w:space="0" w:color="auto"/>
      </w:divBdr>
    </w:div>
    <w:div w:id="391388118">
      <w:bodyDiv w:val="1"/>
      <w:marLeft w:val="0"/>
      <w:marRight w:val="0"/>
      <w:marTop w:val="0"/>
      <w:marBottom w:val="0"/>
      <w:divBdr>
        <w:top w:val="none" w:sz="0" w:space="0" w:color="auto"/>
        <w:left w:val="none" w:sz="0" w:space="0" w:color="auto"/>
        <w:bottom w:val="none" w:sz="0" w:space="0" w:color="auto"/>
        <w:right w:val="none" w:sz="0" w:space="0" w:color="auto"/>
      </w:divBdr>
    </w:div>
    <w:div w:id="476265156">
      <w:bodyDiv w:val="1"/>
      <w:marLeft w:val="0"/>
      <w:marRight w:val="0"/>
      <w:marTop w:val="0"/>
      <w:marBottom w:val="0"/>
      <w:divBdr>
        <w:top w:val="none" w:sz="0" w:space="0" w:color="auto"/>
        <w:left w:val="none" w:sz="0" w:space="0" w:color="auto"/>
        <w:bottom w:val="none" w:sz="0" w:space="0" w:color="auto"/>
        <w:right w:val="none" w:sz="0" w:space="0" w:color="auto"/>
      </w:divBdr>
    </w:div>
    <w:div w:id="505750244">
      <w:bodyDiv w:val="1"/>
      <w:marLeft w:val="0"/>
      <w:marRight w:val="0"/>
      <w:marTop w:val="0"/>
      <w:marBottom w:val="0"/>
      <w:divBdr>
        <w:top w:val="none" w:sz="0" w:space="0" w:color="auto"/>
        <w:left w:val="none" w:sz="0" w:space="0" w:color="auto"/>
        <w:bottom w:val="none" w:sz="0" w:space="0" w:color="auto"/>
        <w:right w:val="none" w:sz="0" w:space="0" w:color="auto"/>
      </w:divBdr>
    </w:div>
    <w:div w:id="607153924">
      <w:bodyDiv w:val="1"/>
      <w:marLeft w:val="0"/>
      <w:marRight w:val="0"/>
      <w:marTop w:val="0"/>
      <w:marBottom w:val="0"/>
      <w:divBdr>
        <w:top w:val="none" w:sz="0" w:space="0" w:color="auto"/>
        <w:left w:val="none" w:sz="0" w:space="0" w:color="auto"/>
        <w:bottom w:val="none" w:sz="0" w:space="0" w:color="auto"/>
        <w:right w:val="none" w:sz="0" w:space="0" w:color="auto"/>
      </w:divBdr>
    </w:div>
    <w:div w:id="705831022">
      <w:bodyDiv w:val="1"/>
      <w:marLeft w:val="0"/>
      <w:marRight w:val="0"/>
      <w:marTop w:val="0"/>
      <w:marBottom w:val="0"/>
      <w:divBdr>
        <w:top w:val="none" w:sz="0" w:space="0" w:color="auto"/>
        <w:left w:val="none" w:sz="0" w:space="0" w:color="auto"/>
        <w:bottom w:val="none" w:sz="0" w:space="0" w:color="auto"/>
        <w:right w:val="none" w:sz="0" w:space="0" w:color="auto"/>
      </w:divBdr>
    </w:div>
    <w:div w:id="777027338">
      <w:bodyDiv w:val="1"/>
      <w:marLeft w:val="0"/>
      <w:marRight w:val="0"/>
      <w:marTop w:val="0"/>
      <w:marBottom w:val="0"/>
      <w:divBdr>
        <w:top w:val="none" w:sz="0" w:space="0" w:color="auto"/>
        <w:left w:val="none" w:sz="0" w:space="0" w:color="auto"/>
        <w:bottom w:val="none" w:sz="0" w:space="0" w:color="auto"/>
        <w:right w:val="none" w:sz="0" w:space="0" w:color="auto"/>
      </w:divBdr>
    </w:div>
    <w:div w:id="794059365">
      <w:bodyDiv w:val="1"/>
      <w:marLeft w:val="0"/>
      <w:marRight w:val="0"/>
      <w:marTop w:val="0"/>
      <w:marBottom w:val="0"/>
      <w:divBdr>
        <w:top w:val="none" w:sz="0" w:space="0" w:color="auto"/>
        <w:left w:val="none" w:sz="0" w:space="0" w:color="auto"/>
        <w:bottom w:val="none" w:sz="0" w:space="0" w:color="auto"/>
        <w:right w:val="none" w:sz="0" w:space="0" w:color="auto"/>
      </w:divBdr>
    </w:div>
    <w:div w:id="886989255">
      <w:bodyDiv w:val="1"/>
      <w:marLeft w:val="0"/>
      <w:marRight w:val="0"/>
      <w:marTop w:val="0"/>
      <w:marBottom w:val="0"/>
      <w:divBdr>
        <w:top w:val="none" w:sz="0" w:space="0" w:color="auto"/>
        <w:left w:val="none" w:sz="0" w:space="0" w:color="auto"/>
        <w:bottom w:val="none" w:sz="0" w:space="0" w:color="auto"/>
        <w:right w:val="none" w:sz="0" w:space="0" w:color="auto"/>
      </w:divBdr>
    </w:div>
    <w:div w:id="960694967">
      <w:bodyDiv w:val="1"/>
      <w:marLeft w:val="0"/>
      <w:marRight w:val="0"/>
      <w:marTop w:val="0"/>
      <w:marBottom w:val="0"/>
      <w:divBdr>
        <w:top w:val="none" w:sz="0" w:space="0" w:color="auto"/>
        <w:left w:val="none" w:sz="0" w:space="0" w:color="auto"/>
        <w:bottom w:val="none" w:sz="0" w:space="0" w:color="auto"/>
        <w:right w:val="none" w:sz="0" w:space="0" w:color="auto"/>
      </w:divBdr>
    </w:div>
    <w:div w:id="988872872">
      <w:bodyDiv w:val="1"/>
      <w:marLeft w:val="0"/>
      <w:marRight w:val="0"/>
      <w:marTop w:val="0"/>
      <w:marBottom w:val="0"/>
      <w:divBdr>
        <w:top w:val="none" w:sz="0" w:space="0" w:color="auto"/>
        <w:left w:val="none" w:sz="0" w:space="0" w:color="auto"/>
        <w:bottom w:val="none" w:sz="0" w:space="0" w:color="auto"/>
        <w:right w:val="none" w:sz="0" w:space="0" w:color="auto"/>
      </w:divBdr>
    </w:div>
    <w:div w:id="1155143341">
      <w:bodyDiv w:val="1"/>
      <w:marLeft w:val="0"/>
      <w:marRight w:val="0"/>
      <w:marTop w:val="0"/>
      <w:marBottom w:val="0"/>
      <w:divBdr>
        <w:top w:val="none" w:sz="0" w:space="0" w:color="auto"/>
        <w:left w:val="none" w:sz="0" w:space="0" w:color="auto"/>
        <w:bottom w:val="none" w:sz="0" w:space="0" w:color="auto"/>
        <w:right w:val="none" w:sz="0" w:space="0" w:color="auto"/>
      </w:divBdr>
    </w:div>
    <w:div w:id="1238662011">
      <w:bodyDiv w:val="1"/>
      <w:marLeft w:val="0"/>
      <w:marRight w:val="0"/>
      <w:marTop w:val="0"/>
      <w:marBottom w:val="0"/>
      <w:divBdr>
        <w:top w:val="none" w:sz="0" w:space="0" w:color="auto"/>
        <w:left w:val="none" w:sz="0" w:space="0" w:color="auto"/>
        <w:bottom w:val="none" w:sz="0" w:space="0" w:color="auto"/>
        <w:right w:val="none" w:sz="0" w:space="0" w:color="auto"/>
      </w:divBdr>
    </w:div>
    <w:div w:id="1549416496">
      <w:bodyDiv w:val="1"/>
      <w:marLeft w:val="0"/>
      <w:marRight w:val="0"/>
      <w:marTop w:val="0"/>
      <w:marBottom w:val="0"/>
      <w:divBdr>
        <w:top w:val="none" w:sz="0" w:space="0" w:color="auto"/>
        <w:left w:val="none" w:sz="0" w:space="0" w:color="auto"/>
        <w:bottom w:val="none" w:sz="0" w:space="0" w:color="auto"/>
        <w:right w:val="none" w:sz="0" w:space="0" w:color="auto"/>
      </w:divBdr>
    </w:div>
    <w:div w:id="1624538017">
      <w:bodyDiv w:val="1"/>
      <w:marLeft w:val="0"/>
      <w:marRight w:val="0"/>
      <w:marTop w:val="0"/>
      <w:marBottom w:val="0"/>
      <w:divBdr>
        <w:top w:val="none" w:sz="0" w:space="0" w:color="auto"/>
        <w:left w:val="none" w:sz="0" w:space="0" w:color="auto"/>
        <w:bottom w:val="none" w:sz="0" w:space="0" w:color="auto"/>
        <w:right w:val="none" w:sz="0" w:space="0" w:color="auto"/>
      </w:divBdr>
    </w:div>
    <w:div w:id="1661275869">
      <w:bodyDiv w:val="1"/>
      <w:marLeft w:val="0"/>
      <w:marRight w:val="0"/>
      <w:marTop w:val="0"/>
      <w:marBottom w:val="0"/>
      <w:divBdr>
        <w:top w:val="none" w:sz="0" w:space="0" w:color="auto"/>
        <w:left w:val="none" w:sz="0" w:space="0" w:color="auto"/>
        <w:bottom w:val="none" w:sz="0" w:space="0" w:color="auto"/>
        <w:right w:val="none" w:sz="0" w:space="0" w:color="auto"/>
      </w:divBdr>
    </w:div>
    <w:div w:id="1703701506">
      <w:bodyDiv w:val="1"/>
      <w:marLeft w:val="0"/>
      <w:marRight w:val="0"/>
      <w:marTop w:val="0"/>
      <w:marBottom w:val="0"/>
      <w:divBdr>
        <w:top w:val="none" w:sz="0" w:space="0" w:color="auto"/>
        <w:left w:val="none" w:sz="0" w:space="0" w:color="auto"/>
        <w:bottom w:val="none" w:sz="0" w:space="0" w:color="auto"/>
        <w:right w:val="none" w:sz="0" w:space="0" w:color="auto"/>
      </w:divBdr>
    </w:div>
    <w:div w:id="1782870322">
      <w:bodyDiv w:val="1"/>
      <w:marLeft w:val="0"/>
      <w:marRight w:val="0"/>
      <w:marTop w:val="0"/>
      <w:marBottom w:val="0"/>
      <w:divBdr>
        <w:top w:val="none" w:sz="0" w:space="0" w:color="auto"/>
        <w:left w:val="none" w:sz="0" w:space="0" w:color="auto"/>
        <w:bottom w:val="none" w:sz="0" w:space="0" w:color="auto"/>
        <w:right w:val="none" w:sz="0" w:space="0" w:color="auto"/>
      </w:divBdr>
    </w:div>
    <w:div w:id="2017150179">
      <w:bodyDiv w:val="1"/>
      <w:marLeft w:val="0"/>
      <w:marRight w:val="0"/>
      <w:marTop w:val="0"/>
      <w:marBottom w:val="0"/>
      <w:divBdr>
        <w:top w:val="none" w:sz="0" w:space="0" w:color="auto"/>
        <w:left w:val="none" w:sz="0" w:space="0" w:color="auto"/>
        <w:bottom w:val="none" w:sz="0" w:space="0" w:color="auto"/>
        <w:right w:val="none" w:sz="0" w:space="0" w:color="auto"/>
      </w:divBdr>
    </w:div>
    <w:div w:id="21151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906_2004_pr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906_2004_pr007.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906_2004_pr007.html" TargetMode="External"/><Relationship Id="rId2" Type="http://schemas.openxmlformats.org/officeDocument/2006/relationships/hyperlink" Target="http://gapv.mininterior.gov.co/sites/default/files/guia_de_medidas_de_satisfaccion.pdf" TargetMode="External"/><Relationship Id="rId1" Type="http://schemas.openxmlformats.org/officeDocument/2006/relationships/hyperlink" Target="http://www.corteconstitucional.gov.co/sentencias/2008/C-425-08.rtf" TargetMode="External"/><Relationship Id="rId4" Type="http://schemas.openxmlformats.org/officeDocument/2006/relationships/hyperlink" Target="http://www.secretariasenado.gov.co/senado/basedoc/c-209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0100-F4F8-4200-B478-9D3340BC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36822</Words>
  <Characters>202526</Characters>
  <Application>Microsoft Office Word</Application>
  <DocSecurity>0</DocSecurity>
  <Lines>1687</Lines>
  <Paragraphs>477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Botero Ramirez</dc:creator>
  <cp:lastModifiedBy>AGOBARDO ÑAÑEZ ERAZO</cp:lastModifiedBy>
  <cp:revision>2</cp:revision>
  <cp:lastPrinted>2017-12-06T21:54:00Z</cp:lastPrinted>
  <dcterms:created xsi:type="dcterms:W3CDTF">2019-10-30T15:05:00Z</dcterms:created>
  <dcterms:modified xsi:type="dcterms:W3CDTF">2019-10-30T15:05:00Z</dcterms:modified>
</cp:coreProperties>
</file>